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9184" w14:textId="77777777" w:rsidR="001525AD" w:rsidRDefault="001525AD" w:rsidP="00896F8D">
      <w:pPr>
        <w:jc w:val="both"/>
        <w:rPr>
          <w:b/>
          <w:bCs/>
        </w:rPr>
      </w:pPr>
    </w:p>
    <w:p w14:paraId="43DE2B4C" w14:textId="00EDC728" w:rsidR="00536656" w:rsidRPr="0039781E" w:rsidRDefault="00D1330E" w:rsidP="00896F8D">
      <w:pPr>
        <w:pStyle w:val="Heading1"/>
        <w:jc w:val="both"/>
      </w:pPr>
      <w:r w:rsidRPr="0039781E">
        <w:t xml:space="preserve">Green Party </w:t>
      </w:r>
      <w:r w:rsidR="00896F8D">
        <w:t xml:space="preserve">Dáil </w:t>
      </w:r>
      <w:r w:rsidR="00536656" w:rsidRPr="0039781E">
        <w:t xml:space="preserve">Constituency </w:t>
      </w:r>
      <w:r w:rsidRPr="0039781E">
        <w:t>Commission</w:t>
      </w:r>
      <w:r w:rsidR="00536656" w:rsidRPr="0039781E">
        <w:t xml:space="preserve"> Submission</w:t>
      </w:r>
    </w:p>
    <w:p w14:paraId="4FA3D40C" w14:textId="4BEF75A4" w:rsidR="00536656" w:rsidRPr="001C376B" w:rsidRDefault="001C376B" w:rsidP="00896F8D">
      <w:pPr>
        <w:pStyle w:val="Heading2"/>
        <w:jc w:val="both"/>
      </w:pPr>
      <w:r w:rsidRPr="001C376B">
        <w:t>Introduction</w:t>
      </w:r>
    </w:p>
    <w:p w14:paraId="414F91FF" w14:textId="25B5F23E" w:rsidR="000E221E" w:rsidRDefault="000A027C" w:rsidP="00896F8D">
      <w:pPr>
        <w:jc w:val="both"/>
      </w:pPr>
      <w:r>
        <w:t xml:space="preserve">The Green Party’s position </w:t>
      </w:r>
      <w:r w:rsidR="00A34872">
        <w:t>in this submission</w:t>
      </w:r>
      <w:r>
        <w:t xml:space="preserve"> will focus on a </w:t>
      </w:r>
      <w:r w:rsidR="00A34872">
        <w:t xml:space="preserve">primary </w:t>
      </w:r>
      <w:r w:rsidR="00801AFF">
        <w:t>proposition</w:t>
      </w:r>
      <w:r w:rsidR="00801AFF">
        <w:t xml:space="preserve"> </w:t>
      </w:r>
      <w:r w:rsidR="000E221E">
        <w:t xml:space="preserve">– the rejection of the current Terms of Reference and the need for legislative change to provide for </w:t>
      </w:r>
      <w:r w:rsidR="000E221E" w:rsidRPr="00896F8D">
        <w:rPr>
          <w:b/>
          <w:bCs/>
        </w:rPr>
        <w:t>6 seat constituencies</w:t>
      </w:r>
      <w:r w:rsidR="000E221E">
        <w:t xml:space="preserve"> for Dáil</w:t>
      </w:r>
      <w:r w:rsidR="004F21BB">
        <w:t xml:space="preserve"> elections</w:t>
      </w:r>
      <w:r w:rsidR="000E221E">
        <w:t xml:space="preserve">. To support this argument, </w:t>
      </w:r>
      <w:r w:rsidR="00E352F7">
        <w:t>we focus on the attendant issues of proportionality</w:t>
      </w:r>
      <w:r w:rsidR="004F21BB">
        <w:t>, representation, continuity, and alignment with local authority areas.</w:t>
      </w:r>
      <w:r w:rsidR="00B7334A">
        <w:t xml:space="preserve"> We are particularly concerned about the implications for female and minority political participation and representation in smaller constituencies.</w:t>
      </w:r>
    </w:p>
    <w:p w14:paraId="701E18AB" w14:textId="5E4F2B4B" w:rsidR="004F21BB" w:rsidRDefault="00E934B6" w:rsidP="00896F8D">
      <w:pPr>
        <w:jc w:val="both"/>
      </w:pPr>
      <w:r>
        <w:t xml:space="preserve">This submission will thus focus on these principles rather than specifics of the constituencies under consideration. </w:t>
      </w:r>
      <w:r w:rsidR="000E221E">
        <w:t xml:space="preserve">It is our recommendation to the Commission that they make a finding from the current review process to the government that they are unable to complete their </w:t>
      </w:r>
      <w:r w:rsidR="004F21BB">
        <w:t>work in a manner commensurate with the needs of Ireland’s modern political system and that legislative change</w:t>
      </w:r>
      <w:r w:rsidR="00E96A27">
        <w:t xml:space="preserve"> is thus required.</w:t>
      </w:r>
    </w:p>
    <w:p w14:paraId="0FDA9DC0" w14:textId="37BA1F78" w:rsidR="00536656" w:rsidRDefault="00536656" w:rsidP="00896F8D">
      <w:pPr>
        <w:pStyle w:val="Heading2"/>
        <w:jc w:val="both"/>
      </w:pPr>
      <w:r w:rsidRPr="00536656">
        <w:t>Broad Principles</w:t>
      </w:r>
    </w:p>
    <w:p w14:paraId="285766B2" w14:textId="335738C5" w:rsidR="00A677C3" w:rsidRDefault="00A677C3" w:rsidP="00896F8D">
      <w:pPr>
        <w:jc w:val="both"/>
      </w:pPr>
      <w:r>
        <w:t>The Green Party notes that the current Terms of Reference for the Commission in this review create a series of competing constraints that will ultimately lead so sub</w:t>
      </w:r>
      <w:r w:rsidR="008620BE">
        <w:t>-</w:t>
      </w:r>
      <w:r>
        <w:t>optimal outcomes for the voters of Ireland on a number of grounds</w:t>
      </w:r>
      <w:r w:rsidR="0030196C">
        <w:t>. These include</w:t>
      </w:r>
      <w:r>
        <w:t xml:space="preserve"> proportionality,</w:t>
      </w:r>
      <w:r w:rsidR="0030196C">
        <w:t xml:space="preserve"> the</w:t>
      </w:r>
      <w:r>
        <w:t xml:space="preserve"> representation of underrepresented groups, and </w:t>
      </w:r>
      <w:r w:rsidR="008620BE">
        <w:t>the breaking up of county and other local authority areas in ways which will endanger the coherence of local and national governance.</w:t>
      </w:r>
    </w:p>
    <w:p w14:paraId="25912935" w14:textId="634AEAD7" w:rsidR="00E84F87" w:rsidRDefault="00E84F87" w:rsidP="00896F8D">
      <w:pPr>
        <w:jc w:val="both"/>
      </w:pPr>
      <w:r>
        <w:t xml:space="preserve">Due to the prohibition of 6 seat constituencies under current rules, it is our belief that the Commission will face very significant difficulties in completing the work of expanding the current Dáil by between 11 and 21 seats. Under the TOR and </w:t>
      </w:r>
      <w:r w:rsidR="002E1C8E">
        <w:t xml:space="preserve">existing </w:t>
      </w:r>
      <w:r>
        <w:t xml:space="preserve">legislation, this will necessitate the breaking up of some existing 5 seat constituencies, most likely into separate 3 seat constituencies. </w:t>
      </w:r>
    </w:p>
    <w:p w14:paraId="789ACFBC" w14:textId="6967275F" w:rsidR="00E84F87" w:rsidRDefault="00E84F87" w:rsidP="00896F8D">
      <w:pPr>
        <w:jc w:val="both"/>
      </w:pPr>
      <w:r>
        <w:t>It is the Green Party’s belief that this will create a proliferation of smaller constituencies, breaking up local authority areas that have previously been coherently represented in single Dáil constituencies. This will likely result in considerable political disquiet from affected populations, be unnecessarily complex</w:t>
      </w:r>
      <w:r>
        <w:t xml:space="preserve"> </w:t>
      </w:r>
      <w:r>
        <w:t xml:space="preserve">and, most importantly, threaten the representativeness of the Irish political system, potentially disadvantaging and underrepresenting the views and preferences of many voters. </w:t>
      </w:r>
    </w:p>
    <w:p w14:paraId="1D879B08" w14:textId="3B09F505" w:rsidR="008620BE" w:rsidRDefault="008620BE" w:rsidP="00896F8D">
      <w:pPr>
        <w:jc w:val="both"/>
      </w:pPr>
      <w:r>
        <w:t xml:space="preserve">The insistence on </w:t>
      </w:r>
      <w:r w:rsidR="00DF5C31">
        <w:t>3, 4 and 5 seat constituencies for Dáil elections is mandated by the Electoral Act 1997 and the Electoral Reform Act 2022</w:t>
      </w:r>
      <w:r w:rsidR="006A61DF">
        <w:t xml:space="preserve">; however </w:t>
      </w:r>
      <w:r w:rsidR="00DF5C31">
        <w:t xml:space="preserve">it is the position of the Green Party that as the first Independent Electoral Commission established on a permanent statutory basis, the Commission should express concerns and make recommendations when existing legislation and </w:t>
      </w:r>
      <w:r w:rsidR="00B147A8">
        <w:t xml:space="preserve">Terms of Reference are likely to lead to deleterious outcomes </w:t>
      </w:r>
      <w:r w:rsidR="00D135D9">
        <w:t xml:space="preserve">to </w:t>
      </w:r>
      <w:r w:rsidR="00D848B2">
        <w:t>the</w:t>
      </w:r>
      <w:r w:rsidR="00B147A8">
        <w:t xml:space="preserve"> </w:t>
      </w:r>
      <w:r w:rsidR="009F10D7">
        <w:t>p</w:t>
      </w:r>
      <w:r w:rsidR="00B147A8">
        <w:t>olitical system.</w:t>
      </w:r>
    </w:p>
    <w:p w14:paraId="69E51577" w14:textId="43E3AD33" w:rsidR="00B147A8" w:rsidRPr="00A677C3" w:rsidRDefault="00B147A8" w:rsidP="00896F8D">
      <w:pPr>
        <w:jc w:val="both"/>
      </w:pPr>
      <w:r>
        <w:t xml:space="preserve">It is the Green Party position that </w:t>
      </w:r>
      <w:r w:rsidR="00801AFF">
        <w:t xml:space="preserve">the use of smaller constituencies </w:t>
      </w:r>
      <w:r>
        <w:t>contradict</w:t>
      </w:r>
      <w:r w:rsidR="00801AFF">
        <w:t>s</w:t>
      </w:r>
      <w:r>
        <w:t xml:space="preserve"> the </w:t>
      </w:r>
      <w:r w:rsidR="00357F0E">
        <w:t xml:space="preserve">principles of a proportional voting system, </w:t>
      </w:r>
      <w:r w:rsidR="00801AFF">
        <w:t xml:space="preserve">and </w:t>
      </w:r>
      <w:r w:rsidR="00357F0E">
        <w:t>that this situation has never been more pressing in light of current demographic patterns in Ireland</w:t>
      </w:r>
      <w:r w:rsidR="00801AFF">
        <w:t xml:space="preserve">. We submit that the </w:t>
      </w:r>
      <w:r w:rsidR="00357F0E">
        <w:t xml:space="preserve">Commission should issue a recommendation out of this consultation that their Terms of Reference and the supporting electoral legislation be amended to address this. </w:t>
      </w:r>
    </w:p>
    <w:p w14:paraId="52D4EED4" w14:textId="77777777" w:rsidR="00FA0BBB" w:rsidRDefault="00FA0BBB" w:rsidP="00896F8D">
      <w:pPr>
        <w:jc w:val="both"/>
        <w:rPr>
          <w:b/>
          <w:bCs/>
          <w:u w:val="single"/>
        </w:rPr>
      </w:pPr>
    </w:p>
    <w:p w14:paraId="6CACD9D6" w14:textId="77777777" w:rsidR="00FA0BBB" w:rsidRDefault="00FA0BBB" w:rsidP="00896F8D">
      <w:pPr>
        <w:jc w:val="both"/>
        <w:rPr>
          <w:b/>
          <w:bCs/>
          <w:u w:val="single"/>
        </w:rPr>
      </w:pPr>
    </w:p>
    <w:p w14:paraId="14F0A9EE" w14:textId="4DDB2F27" w:rsidR="0039781E" w:rsidRPr="0039781E" w:rsidRDefault="0039781E" w:rsidP="00896F8D">
      <w:pPr>
        <w:pStyle w:val="Heading3"/>
        <w:jc w:val="both"/>
      </w:pPr>
      <w:r w:rsidRPr="0039781E">
        <w:lastRenderedPageBreak/>
        <w:t>Proportionality</w:t>
      </w:r>
    </w:p>
    <w:p w14:paraId="4E2BF370" w14:textId="10784C6E" w:rsidR="00C11B25" w:rsidRDefault="00D1330E" w:rsidP="00896F8D">
      <w:pPr>
        <w:jc w:val="both"/>
      </w:pPr>
      <w:r>
        <w:t>The goal of our electoral system must be proportionality</w:t>
      </w:r>
      <w:r w:rsidR="005A1340">
        <w:t xml:space="preserve"> – the representatives elected in a constituency should represent the preferences of the voters that elect them</w:t>
      </w:r>
      <w:r>
        <w:t>. The principle of ‘one person, one vote’ is damaged by the lack of proportionality in our system</w:t>
      </w:r>
      <w:r w:rsidR="00DF546C">
        <w:t xml:space="preserve">, whereby </w:t>
      </w:r>
      <w:r w:rsidR="00357F0E">
        <w:t xml:space="preserve">voters for </w:t>
      </w:r>
      <w:r w:rsidR="00DF546C">
        <w:t xml:space="preserve">larger parties tend to get more </w:t>
      </w:r>
      <w:r w:rsidR="00357F0E">
        <w:t>political representation</w:t>
      </w:r>
      <w:r w:rsidR="00DF546C">
        <w:t xml:space="preserve"> than </w:t>
      </w:r>
      <w:r w:rsidR="00357F0E">
        <w:t>those supporting</w:t>
      </w:r>
      <w:r w:rsidR="00DF546C">
        <w:t xml:space="preserve"> smaller parties</w:t>
      </w:r>
      <w:r>
        <w:t xml:space="preserve">. The expert research on this points to a simple way in which PR-STV systems can be made more proportional: </w:t>
      </w:r>
      <w:r w:rsidR="00DB14AE">
        <w:t>larger</w:t>
      </w:r>
      <w:r>
        <w:t xml:space="preserve"> constituencies. </w:t>
      </w:r>
    </w:p>
    <w:p w14:paraId="5CF6A7A4" w14:textId="6F04D1F4" w:rsidR="00101D87" w:rsidRPr="00101D87" w:rsidRDefault="00C65D30" w:rsidP="00896F8D">
      <w:pPr>
        <w:jc w:val="both"/>
      </w:pPr>
      <w:r>
        <w:t>The Gallagher Index is a measure of proportionality in elections.</w:t>
      </w:r>
      <w:r w:rsidR="00C11B25">
        <w:t xml:space="preserve"> </w:t>
      </w:r>
      <w:r w:rsidR="00C11B25">
        <w:t xml:space="preserve">According to </w:t>
      </w:r>
      <w:proofErr w:type="spellStart"/>
      <w:r w:rsidR="00C11B25">
        <w:t>Dr.</w:t>
      </w:r>
      <w:proofErr w:type="spellEnd"/>
      <w:r w:rsidR="00C11B25">
        <w:t xml:space="preserve"> Michael Gallagher, </w:t>
      </w:r>
      <w:r w:rsidR="00C11B25" w:rsidRPr="00C65D30">
        <w:t xml:space="preserve">“The level of disproportionality in any country is caused mainly by </w:t>
      </w:r>
      <w:r w:rsidR="00C11B25" w:rsidRPr="007446E2">
        <w:rPr>
          <w:i/>
          <w:iCs/>
        </w:rPr>
        <w:t>district magnitude</w:t>
      </w:r>
      <w:r w:rsidR="00C11B25" w:rsidRPr="00C65D30">
        <w:t xml:space="preserve"> (the number of MPs per constituency)”</w:t>
      </w:r>
      <w:r w:rsidR="00C11B25" w:rsidRPr="00C65D30">
        <w:rPr>
          <w:rStyle w:val="FootnoteReference"/>
        </w:rPr>
        <w:t xml:space="preserve"> </w:t>
      </w:r>
      <w:r w:rsidR="00C11B25" w:rsidRPr="00C65D30">
        <w:rPr>
          <w:rStyle w:val="FootnoteReference"/>
        </w:rPr>
        <w:footnoteReference w:id="2"/>
      </w:r>
      <w:r w:rsidR="00C11B25">
        <w:t>, and “</w:t>
      </w:r>
      <w:r w:rsidR="00C11B25" w:rsidRPr="00C65D30">
        <w:t>Average district magnitude, at 4.10 seats per constituency, is exceptionally low by the standards of PR electoral systems, which is a major reason for the level of disproportionality at recent Irish elections</w:t>
      </w:r>
      <w:r w:rsidR="00C11B25">
        <w:t>”</w:t>
      </w:r>
      <w:r w:rsidR="00C11B25">
        <w:rPr>
          <w:rStyle w:val="FootnoteReference"/>
        </w:rPr>
        <w:footnoteReference w:id="3"/>
      </w:r>
      <w:r w:rsidR="00C11B25">
        <w:t xml:space="preserve">. </w:t>
      </w:r>
      <w:r w:rsidR="00101D87" w:rsidRPr="00101D87">
        <w:t>Although Ireland held a favourable Gallagher index of 2.22 in the 2020 General Election, other recent elections were far less proportional, with indices of 5.62, 8.69, 5.85 and 6.62 in the previous four elections.</w:t>
      </w:r>
      <w:r w:rsidR="00101D87" w:rsidRPr="00101D87">
        <w:rPr>
          <w:rStyle w:val="FootnoteReference"/>
        </w:rPr>
        <w:footnoteReference w:id="4"/>
      </w:r>
      <w:r w:rsidR="00101D87" w:rsidRPr="00101D87">
        <w:t xml:space="preserve"> The best way to ensure that this remains low is to facilitate larger constituencies where possible. </w:t>
      </w:r>
    </w:p>
    <w:p w14:paraId="1D8B48D5" w14:textId="103F7FFA" w:rsidR="00C65D30" w:rsidRDefault="00C11B25" w:rsidP="00896F8D">
      <w:pPr>
        <w:jc w:val="both"/>
      </w:pPr>
      <w:r>
        <w:t>In order to preserve and improve the proportionality of our electoral outcomes, the Commission should recommend the creation of 6 seat constituencies, avoid the use of 3 and even 4 seat constituencies where possible and favour the use of 5 or larger seat constituencies in the future.</w:t>
      </w:r>
    </w:p>
    <w:p w14:paraId="42136DAF" w14:textId="42A860BA" w:rsidR="00822AA6" w:rsidRPr="00822AA6" w:rsidRDefault="00822AA6" w:rsidP="00896F8D">
      <w:pPr>
        <w:pStyle w:val="Heading2"/>
        <w:jc w:val="both"/>
      </w:pPr>
      <w:r w:rsidRPr="00822AA6">
        <w:t>Representation</w:t>
      </w:r>
    </w:p>
    <w:p w14:paraId="17DDE079" w14:textId="29DA83A6" w:rsidR="00FA0BBB" w:rsidRPr="00FA0BBB" w:rsidRDefault="00C11B25" w:rsidP="00896F8D">
      <w:pPr>
        <w:jc w:val="both"/>
      </w:pPr>
      <w:r>
        <w:t>(</w:t>
      </w:r>
      <w:r w:rsidR="00FA0BBB">
        <w:t xml:space="preserve">For the information in this section, we are indebted to Ms Claire </w:t>
      </w:r>
      <w:proofErr w:type="spellStart"/>
      <w:r w:rsidR="00FA0BBB">
        <w:t>McGing</w:t>
      </w:r>
      <w:proofErr w:type="spellEnd"/>
      <w:r w:rsidR="00FA0BBB">
        <w:t xml:space="preserve"> of </w:t>
      </w:r>
      <w:r w:rsidR="00FA0BBB" w:rsidRPr="00FA0BBB">
        <w:rPr>
          <w:bCs/>
          <w:lang w:val="en-US"/>
        </w:rPr>
        <w:t>IADT Dun Laoghaire</w:t>
      </w:r>
      <w:r w:rsidR="00FA0BBB" w:rsidRPr="00FA0BBB">
        <w:rPr>
          <w:bCs/>
        </w:rPr>
        <w:t xml:space="preserve"> </w:t>
      </w:r>
      <w:r w:rsidR="00FA0BBB">
        <w:t xml:space="preserve">and her draft paper </w:t>
      </w:r>
      <w:r w:rsidR="00FA0BBB" w:rsidRPr="00FA0BBB">
        <w:rPr>
          <w:bCs/>
          <w:i/>
          <w:iCs/>
          <w:lang w:val="en-US"/>
        </w:rPr>
        <w:t>From the ballot paper to the Dáil: Gender and seat-winning in Irish general elections, 1992-2020</w:t>
      </w:r>
      <w:r w:rsidR="00FA0BBB">
        <w:rPr>
          <w:bCs/>
          <w:lang w:val="en-US"/>
        </w:rPr>
        <w:t xml:space="preserve">, </w:t>
      </w:r>
      <w:r w:rsidR="008051E2">
        <w:rPr>
          <w:bCs/>
          <w:lang w:val="en-US"/>
        </w:rPr>
        <w:t>cited</w:t>
      </w:r>
      <w:r w:rsidR="00FA0BBB">
        <w:rPr>
          <w:bCs/>
          <w:lang w:val="en-US"/>
        </w:rPr>
        <w:t xml:space="preserve"> with the kind permission of the author.</w:t>
      </w:r>
      <w:r>
        <w:rPr>
          <w:bCs/>
          <w:lang w:val="en-US"/>
        </w:rPr>
        <w:t>)</w:t>
      </w:r>
    </w:p>
    <w:p w14:paraId="0A66DE42" w14:textId="2076F339" w:rsidR="00822AA6" w:rsidRDefault="00822AA6" w:rsidP="00896F8D">
      <w:pPr>
        <w:jc w:val="both"/>
      </w:pPr>
      <w:r>
        <w:t xml:space="preserve">Integral to discussions of the proportionality of voting outcomes is the effect this has on the demographic makeup of our national elected representatives, and in particular the representation of women. Increasing female participation in politics </w:t>
      </w:r>
      <w:r w:rsidR="00A63B92">
        <w:t>is now an agreed aim across the Irish political spectrum and supported by the gender quota system in the Electoral (Amendment) (Political Funding) Act 2012. Ireland has made considerable progress in increasing the representation of women within the political system, from 12% of TDs in the 1992 election to 22.6% in 2020. However, progress has been slower than hoped and Ireland still has a considerable way to go to reach the true parity seen in countries like New Zealand, Mexico and others.</w:t>
      </w:r>
    </w:p>
    <w:p w14:paraId="554F1C1B" w14:textId="55D16440" w:rsidR="00A63B92" w:rsidRDefault="00A63B92" w:rsidP="00896F8D">
      <w:pPr>
        <w:jc w:val="both"/>
      </w:pPr>
      <w:r>
        <w:t>The discussion on the effects of constituenc</w:t>
      </w:r>
      <w:r w:rsidR="00FA0BBB">
        <w:t xml:space="preserve">y size </w:t>
      </w:r>
      <w:r>
        <w:t>on demographic representation is an evolving one</w:t>
      </w:r>
      <w:r w:rsidR="00FA0BBB">
        <w:t xml:space="preserve">, with the traditional view that larger constituencies allow parties to select new female and other candidates without challenging incumbent representatives, who will normally be male. </w:t>
      </w:r>
      <w:r w:rsidR="00032141">
        <w:t xml:space="preserve">Work by Claire </w:t>
      </w:r>
      <w:proofErr w:type="spellStart"/>
      <w:r w:rsidR="00032141">
        <w:t>McGing</w:t>
      </w:r>
      <w:proofErr w:type="spellEnd"/>
      <w:r w:rsidR="00032141">
        <w:t xml:space="preserve"> has analysed this effect and the implications for female candidates success based in 3, 4 and 5 seat constituencies over</w:t>
      </w:r>
      <w:r w:rsidR="008051E2">
        <w:t xml:space="preserve"> </w:t>
      </w:r>
      <w:r w:rsidR="00032141">
        <w:t xml:space="preserve">time, noting that while there was not a statistically </w:t>
      </w:r>
      <w:r w:rsidR="008051E2">
        <w:t xml:space="preserve">very </w:t>
      </w:r>
      <w:r w:rsidR="00032141">
        <w:t xml:space="preserve">strong </w:t>
      </w:r>
      <w:r w:rsidR="008051E2">
        <w:t xml:space="preserve">effect from constituency size </w:t>
      </w:r>
      <w:r w:rsidR="00C11B25">
        <w:t>on</w:t>
      </w:r>
      <w:r w:rsidR="00C11B25">
        <w:t xml:space="preserve"> </w:t>
      </w:r>
      <w:r w:rsidR="008051E2">
        <w:t>female representation, “there has been a tendency for women TDs to have higher representation levels in five seat constituencies” (</w:t>
      </w:r>
      <w:proofErr w:type="spellStart"/>
      <w:r w:rsidR="008051E2">
        <w:t>McGing</w:t>
      </w:r>
      <w:proofErr w:type="spellEnd"/>
      <w:r w:rsidR="008051E2">
        <w:t xml:space="preserve">). When the larger parties were disaggregated in the analysis (due to their tendency to run multiple candidates in constituencies) the effect becomes clearer, with 5 seat constituencies </w:t>
      </w:r>
      <w:r w:rsidR="009F10D7">
        <w:t xml:space="preserve">again </w:t>
      </w:r>
      <w:r w:rsidR="008051E2">
        <w:t xml:space="preserve">delivering higher rates of female representation over time. While </w:t>
      </w:r>
      <w:proofErr w:type="spellStart"/>
      <w:r w:rsidR="008051E2">
        <w:t>McGing</w:t>
      </w:r>
      <w:proofErr w:type="spellEnd"/>
      <w:r w:rsidR="008051E2">
        <w:t xml:space="preserve"> does note that the district magnitude effect is only </w:t>
      </w:r>
      <w:r w:rsidR="006A61DF">
        <w:t xml:space="preserve">one </w:t>
      </w:r>
      <w:r w:rsidR="008051E2">
        <w:t xml:space="preserve">factor amongst many affecting the level of female political representation in Ireland, it is the only aspect </w:t>
      </w:r>
      <w:r w:rsidR="008051E2">
        <w:lastRenderedPageBreak/>
        <w:t>currently under consideration by the Commission and this effect should make up part of the final report</w:t>
      </w:r>
      <w:r w:rsidR="006A61DF">
        <w:t>’</w:t>
      </w:r>
      <w:r w:rsidR="008051E2">
        <w:t xml:space="preserve">s considerations. </w:t>
      </w:r>
    </w:p>
    <w:p w14:paraId="7C3EAA54" w14:textId="5CFFC816" w:rsidR="00544998" w:rsidRDefault="009F10D7" w:rsidP="00896F8D">
      <w:pPr>
        <w:jc w:val="both"/>
      </w:pPr>
      <w:r>
        <w:t>A focus on the greater use of 5 seat and larger constituencies</w:t>
      </w:r>
      <w:r w:rsidR="00544998">
        <w:t xml:space="preserve"> would </w:t>
      </w:r>
      <w:r>
        <w:t>promote</w:t>
      </w:r>
      <w:r w:rsidR="00544998">
        <w:t xml:space="preserve"> d</w:t>
      </w:r>
      <w:r w:rsidR="00544998" w:rsidRPr="00544998">
        <w:t>iversity and gender balance</w:t>
      </w:r>
      <w:r>
        <w:t>. S</w:t>
      </w:r>
      <w:r w:rsidR="00DB14AE">
        <w:t>m</w:t>
      </w:r>
      <w:r w:rsidR="00544998" w:rsidRPr="00544998">
        <w:t xml:space="preserve">aller constituencies </w:t>
      </w:r>
      <w:r>
        <w:t>have</w:t>
      </w:r>
      <w:r w:rsidR="00544998" w:rsidRPr="00544998">
        <w:t xml:space="preserve"> disadvantage</w:t>
      </w:r>
      <w:r>
        <w:t>d</w:t>
      </w:r>
      <w:r w:rsidR="00544998" w:rsidRPr="00544998">
        <w:t xml:space="preserve"> those currently under</w:t>
      </w:r>
      <w:r w:rsidR="00544998">
        <w:t>-</w:t>
      </w:r>
      <w:r w:rsidR="00544998" w:rsidRPr="00544998">
        <w:t>represented in politics and act as a barrier to entry and success to these groups. This leaves women in particular under</w:t>
      </w:r>
      <w:r w:rsidR="00544998">
        <w:t>-</w:t>
      </w:r>
      <w:r w:rsidR="00544998" w:rsidRPr="00544998">
        <w:t>represented and is contrary to other efforts to increase diversity and proportionality in representation amongst our public representatives</w:t>
      </w:r>
      <w:r w:rsidR="00544998">
        <w:t>.</w:t>
      </w:r>
      <w:r>
        <w:t xml:space="preserve"> It is the Green Party’s opinion that 3 seat constituencies need to be avoided as a result.</w:t>
      </w:r>
    </w:p>
    <w:p w14:paraId="11AC6CA9" w14:textId="63FE6E61" w:rsidR="00C06024" w:rsidRPr="00C06024" w:rsidRDefault="00C06024" w:rsidP="00896F8D">
      <w:pPr>
        <w:pStyle w:val="Heading2"/>
        <w:jc w:val="both"/>
      </w:pPr>
      <w:r w:rsidRPr="00C06024">
        <w:t>Variance</w:t>
      </w:r>
    </w:p>
    <w:p w14:paraId="745ABA12" w14:textId="34A5672B" w:rsidR="008924C3" w:rsidRDefault="007221CD" w:rsidP="00896F8D">
      <w:pPr>
        <w:tabs>
          <w:tab w:val="left" w:pos="1596"/>
        </w:tabs>
        <w:jc w:val="both"/>
      </w:pPr>
      <w:r>
        <w:t xml:space="preserve">The </w:t>
      </w:r>
      <w:r w:rsidRPr="007221CD">
        <w:t>Electoral Commission</w:t>
      </w:r>
      <w:r>
        <w:t>’s</w:t>
      </w:r>
      <w:r w:rsidRPr="007221CD">
        <w:t xml:space="preserve"> Statement</w:t>
      </w:r>
      <w:r>
        <w:t xml:space="preserve"> under</w:t>
      </w:r>
      <w:r w:rsidRPr="007221CD">
        <w:t xml:space="preserve"> Section 59(2) of the Electoral Reform Act 2022</w:t>
      </w:r>
      <w:r>
        <w:t xml:space="preserve"> provides a thorough examination of variance in constituencies.</w:t>
      </w:r>
      <w:r w:rsidR="008924C3">
        <w:t xml:space="preserve"> It highlights </w:t>
      </w:r>
      <w:r w:rsidR="008924C3" w:rsidRPr="008924C3">
        <w:t>Article 16.2.3˚ of the Constitution</w:t>
      </w:r>
      <w:r w:rsidR="008924C3">
        <w:t>, which holds that the number of people per TD should “so far as it is practicable, be the same throughout the country”.</w:t>
      </w:r>
      <w:r w:rsidR="00CA57F3">
        <w:t xml:space="preserve"> The examination of cases around this subclause indicate the Supreme Court considers variance to be a matter outside of its remit, and one in the remit of the Oireachtas. As the independent body charged with advising, it would be within the remit of the Commission to consider variance. </w:t>
      </w:r>
      <w:r w:rsidR="008924C3">
        <w:t xml:space="preserve">We submit that the Commission should recommend a maximum level of variance between constituencies in terms of representation. </w:t>
      </w:r>
    </w:p>
    <w:p w14:paraId="722462F8" w14:textId="6CFEB3BA" w:rsidR="0039781E" w:rsidRPr="0039781E" w:rsidRDefault="0039781E" w:rsidP="00896F8D">
      <w:pPr>
        <w:pStyle w:val="Heading2"/>
        <w:jc w:val="both"/>
      </w:pPr>
      <w:r w:rsidRPr="0039781E">
        <w:t>Continuity</w:t>
      </w:r>
    </w:p>
    <w:p w14:paraId="36660167" w14:textId="0AC95D17" w:rsidR="007221CD" w:rsidRDefault="007221CD" w:rsidP="00896F8D">
      <w:pPr>
        <w:tabs>
          <w:tab w:val="left" w:pos="2208"/>
        </w:tabs>
        <w:jc w:val="both"/>
      </w:pPr>
      <w:r>
        <w:t>The Commission’s Terms of Reference include the following: “</w:t>
      </w:r>
      <w:r w:rsidRPr="00C06024">
        <w:t>the Commission shall endeavour to maintain continuity in relation to the arrangement of constituencies</w:t>
      </w:r>
      <w:r>
        <w:t xml:space="preserve">”. </w:t>
      </w:r>
    </w:p>
    <w:p w14:paraId="32533BF2" w14:textId="59DAB531" w:rsidR="00223C2A" w:rsidRDefault="00223C2A" w:rsidP="00896F8D">
      <w:pPr>
        <w:tabs>
          <w:tab w:val="left" w:pos="2208"/>
        </w:tabs>
        <w:jc w:val="both"/>
      </w:pPr>
      <w:r>
        <w:t xml:space="preserve">As of April 2022, the population stood at </w:t>
      </w:r>
      <w:r w:rsidRPr="0084415C">
        <w:t>5,123,536</w:t>
      </w:r>
      <w:r>
        <w:rPr>
          <w:rStyle w:val="FootnoteReference"/>
        </w:rPr>
        <w:footnoteReference w:id="5"/>
      </w:r>
      <w:r>
        <w:t xml:space="preserve">. The increase in population between April 2021 and April 2022 of </w:t>
      </w:r>
      <w:r w:rsidRPr="0084415C">
        <w:t>88,800</w:t>
      </w:r>
      <w:r>
        <w:t xml:space="preserve"> persons</w:t>
      </w:r>
      <w:r>
        <w:rPr>
          <w:rStyle w:val="FootnoteReference"/>
        </w:rPr>
        <w:footnoteReference w:id="6"/>
      </w:r>
      <w:r>
        <w:t xml:space="preserve"> will likely be overtaken by the figures for the year to April 2023. If this continues, the Constitutional minimum of one TD per 30,000 will be breached ahead of the following election cycle even if the upper legal limit of 181 seats (5,430,000 persons) is chosen for the coming election. If that growth accelerates, there is a slight possibility that that limit could be breached ahead of the coming election were it to be held at its final possible date (February 2025).   </w:t>
      </w:r>
    </w:p>
    <w:p w14:paraId="2A6FC55A" w14:textId="06AF8B43" w:rsidR="00536656" w:rsidRDefault="00536656" w:rsidP="00896F8D">
      <w:pPr>
        <w:jc w:val="both"/>
      </w:pPr>
      <w:r>
        <w:t xml:space="preserve">The population is likely to </w:t>
      </w:r>
      <w:r w:rsidR="00D1330E">
        <w:t>be</w:t>
      </w:r>
      <w:r>
        <w:t xml:space="preserve"> quite different to when the census was conducted </w:t>
      </w:r>
      <w:r w:rsidR="00DF546C">
        <w:t>on the 3</w:t>
      </w:r>
      <w:r w:rsidR="00DF546C" w:rsidRPr="00DF546C">
        <w:rPr>
          <w:vertAlign w:val="superscript"/>
        </w:rPr>
        <w:t>rd</w:t>
      </w:r>
      <w:r w:rsidR="00DF546C">
        <w:t xml:space="preserve"> April 2022. </w:t>
      </w:r>
      <w:r w:rsidR="00226BA6">
        <w:t>Firstly</w:t>
      </w:r>
      <w:r w:rsidR="00226BA6" w:rsidRPr="00226BA6">
        <w:t>, t</w:t>
      </w:r>
      <w:r w:rsidR="00DF546C" w:rsidRPr="00226BA6">
        <w:t xml:space="preserve">he Temporary Protection Directive took effect </w:t>
      </w:r>
      <w:r w:rsidR="00226BA6" w:rsidRPr="00226BA6">
        <w:t xml:space="preserve">less than two weeks earlier </w:t>
      </w:r>
      <w:r w:rsidR="00DF546C" w:rsidRPr="00226BA6">
        <w:t>on the 21</w:t>
      </w:r>
      <w:r w:rsidR="00DF546C" w:rsidRPr="00226BA6">
        <w:rPr>
          <w:vertAlign w:val="superscript"/>
        </w:rPr>
        <w:t>st</w:t>
      </w:r>
      <w:r w:rsidR="00DF546C" w:rsidRPr="00226BA6">
        <w:t xml:space="preserve"> March 2022</w:t>
      </w:r>
      <w:r w:rsidR="00226BA6" w:rsidRPr="00226BA6">
        <w:t xml:space="preserve"> and the full effect of the</w:t>
      </w:r>
      <w:r w:rsidR="00226BA6">
        <w:t xml:space="preserve"> inflow of Ukrainians into Ireland had yet to be realised.</w:t>
      </w:r>
      <w:r w:rsidR="00C25581">
        <w:t xml:space="preserve"> </w:t>
      </w:r>
      <w:r>
        <w:t xml:space="preserve">Despite the fact that the Commission bases its report on the latest Census results, we feel that it would be prudent in the interests of continuity and future-proofing constituencies, that account be taken of the differences that we have seen already between the </w:t>
      </w:r>
      <w:r w:rsidR="00C25581">
        <w:t xml:space="preserve">Census results and today’s population. </w:t>
      </w:r>
    </w:p>
    <w:p w14:paraId="4400EA5D" w14:textId="2236EDDC" w:rsidR="00536656" w:rsidRDefault="00536656" w:rsidP="00896F8D">
      <w:pPr>
        <w:jc w:val="both"/>
      </w:pPr>
      <w:r>
        <w:t xml:space="preserve">For this reason, we would also submit that the Commission should make a recommendation of seats towards the higher end of the </w:t>
      </w:r>
      <w:r w:rsidR="00223C2A">
        <w:t xml:space="preserve">171-181 </w:t>
      </w:r>
      <w:r>
        <w:t xml:space="preserve">range that has previously been indicated. The 20,000-30,000 range for population per TD, as Constitutionally mandated, includes all those living in the State, not just those registered to vote. Not taking into account these recent population increases would likely necessitate the redrawing of constituencies again ahead of the </w:t>
      </w:r>
      <w:r w:rsidR="007221CD">
        <w:t>following</w:t>
      </w:r>
      <w:r>
        <w:t xml:space="preserve"> General Election.</w:t>
      </w:r>
      <w:r w:rsidR="00223C2A">
        <w:t xml:space="preserve"> </w:t>
      </w:r>
      <w:r w:rsidR="00544998">
        <w:t xml:space="preserve">The </w:t>
      </w:r>
      <w:r w:rsidR="00544998">
        <w:lastRenderedPageBreak/>
        <w:t xml:space="preserve">introduction of 6-seater constituencies would also provide enough flexibility to ensure that county boundaries are not breached, in so far as is practical. </w:t>
      </w:r>
    </w:p>
    <w:p w14:paraId="25D4EACF" w14:textId="77777777" w:rsidR="00C25581" w:rsidRDefault="00C25581" w:rsidP="00896F8D">
      <w:pPr>
        <w:jc w:val="both"/>
      </w:pPr>
      <w:r>
        <w:t xml:space="preserve">Continuity must be both past-, and future-focused. For this reason, we feel that it is important for the Commission to take into consideration the need for future-proofing constituencies to avoid certain geographical groups being pulled back and forth between constituencies. We would recommend that the Commission include a measurement of continuity in their analysis, such as the proportion of people who find themselves changing constituency from one election to another, both per constituency and nationwide. </w:t>
      </w:r>
    </w:p>
    <w:p w14:paraId="1A0B2664" w14:textId="0A7DBB52" w:rsidR="008620BE" w:rsidRDefault="008620BE" w:rsidP="00896F8D">
      <w:pPr>
        <w:pStyle w:val="Heading1"/>
        <w:jc w:val="both"/>
      </w:pPr>
      <w:r>
        <w:t>Recommendation</w:t>
      </w:r>
      <w:r w:rsidR="008051E2">
        <w:t>s</w:t>
      </w:r>
    </w:p>
    <w:p w14:paraId="00019B00" w14:textId="46A3352C" w:rsidR="008620BE" w:rsidRDefault="008620BE" w:rsidP="00896F8D">
      <w:pPr>
        <w:jc w:val="both"/>
      </w:pPr>
      <w:r w:rsidRPr="008620BE">
        <w:t xml:space="preserve">With the </w:t>
      </w:r>
      <w:r w:rsidR="00032141">
        <w:t xml:space="preserve">above considerations in mind, it is the central recommendation of this Green Party submission that the Electoral Commission </w:t>
      </w:r>
      <w:r w:rsidR="00FA2E73">
        <w:t>should insist on the necessary legislative change to provide for the use of 6 seat constituencies</w:t>
      </w:r>
      <w:r w:rsidR="00591E03">
        <w:t xml:space="preserve">, and to </w:t>
      </w:r>
      <w:r w:rsidR="00032141">
        <w:t xml:space="preserve">note in its report that the exclusion of constituencies larger than 5 seats is an unacceptable constraint on your </w:t>
      </w:r>
      <w:r w:rsidR="00591E03">
        <w:t>wor</w:t>
      </w:r>
      <w:r w:rsidR="004E6127">
        <w:t>k</w:t>
      </w:r>
      <w:r w:rsidR="00032141">
        <w:t>.</w:t>
      </w:r>
      <w:r w:rsidR="009B11D6">
        <w:t xml:space="preserve"> Following such a legislative change</w:t>
      </w:r>
      <w:r w:rsidR="00405CA9">
        <w:t xml:space="preserve">, the Commission </w:t>
      </w:r>
      <w:r w:rsidR="00FC544C">
        <w:t>c</w:t>
      </w:r>
      <w:r w:rsidR="005D7249">
        <w:t xml:space="preserve">ould initiate a new </w:t>
      </w:r>
      <w:r w:rsidR="005F6743">
        <w:t xml:space="preserve">boundary review process focused on </w:t>
      </w:r>
      <w:r w:rsidR="00592987">
        <w:t>the use of 4, 5 and 6 seat constituencies.</w:t>
      </w:r>
    </w:p>
    <w:p w14:paraId="70A3BF62" w14:textId="05C2D03C" w:rsidR="00271377" w:rsidRDefault="00271377" w:rsidP="00896F8D">
      <w:pPr>
        <w:jc w:val="both"/>
      </w:pPr>
      <w:r>
        <w:t>Additionally, the Green Party recommends the following</w:t>
      </w:r>
      <w:r w:rsidR="008051E2">
        <w:t>:</w:t>
      </w:r>
    </w:p>
    <w:p w14:paraId="5CF36043" w14:textId="4E550241" w:rsidR="00271377" w:rsidRDefault="008051E2" w:rsidP="00896F8D">
      <w:pPr>
        <w:pStyle w:val="ListParagraph"/>
        <w:numPr>
          <w:ilvl w:val="0"/>
          <w:numId w:val="4"/>
        </w:numPr>
        <w:jc w:val="both"/>
      </w:pPr>
      <w:r>
        <w:t>The Commission should seek to facilitate an expansion of the total number of deputies towards the upper range (181) under consideration.</w:t>
      </w:r>
    </w:p>
    <w:p w14:paraId="1087E333" w14:textId="0242822B" w:rsidR="008051E2" w:rsidRDefault="008051E2" w:rsidP="00896F8D">
      <w:pPr>
        <w:pStyle w:val="ListParagraph"/>
        <w:numPr>
          <w:ilvl w:val="0"/>
          <w:numId w:val="4"/>
        </w:numPr>
        <w:jc w:val="both"/>
      </w:pPr>
      <w:r>
        <w:t>The Commission should avoid where possible the division of county level local authority areas into separate constituencies.</w:t>
      </w:r>
    </w:p>
    <w:p w14:paraId="226A9F59" w14:textId="403846E1" w:rsidR="00896F8D" w:rsidRDefault="008051E2" w:rsidP="00896F8D">
      <w:pPr>
        <w:pStyle w:val="ListParagraph"/>
        <w:numPr>
          <w:ilvl w:val="0"/>
          <w:numId w:val="4"/>
        </w:numPr>
        <w:jc w:val="both"/>
      </w:pPr>
      <w:r>
        <w:t xml:space="preserve">The Commission should opt for </w:t>
      </w:r>
      <w:r w:rsidR="002554AF">
        <w:t>larger</w:t>
      </w:r>
      <w:r>
        <w:t xml:space="preserve"> constituencies</w:t>
      </w:r>
      <w:r w:rsidR="002554AF">
        <w:t>,</w:t>
      </w:r>
      <w:r>
        <w:t xml:space="preserve"> on the basis of proportionality and representation. </w:t>
      </w:r>
      <w:r w:rsidR="00876682" w:rsidRPr="00B02DBF">
        <w:t>The Commission should avoid the use of 3 seat constituencies.</w:t>
      </w:r>
    </w:p>
    <w:p w14:paraId="52E2975C" w14:textId="67A0E47E" w:rsidR="00876682" w:rsidRPr="00896F8D" w:rsidRDefault="008051E2" w:rsidP="00896F8D">
      <w:pPr>
        <w:pStyle w:val="ListParagraph"/>
        <w:numPr>
          <w:ilvl w:val="0"/>
          <w:numId w:val="4"/>
        </w:numPr>
        <w:jc w:val="both"/>
      </w:pPr>
      <w:r w:rsidRPr="00B02DBF">
        <w:t>The Commission should recommend a maximum level of variance between constituencies in terms of representation as part of its report.</w:t>
      </w:r>
      <w:r w:rsidR="00876682" w:rsidRPr="00B02DBF" w:rsidDel="00876682">
        <w:t xml:space="preserve"> </w:t>
      </w:r>
    </w:p>
    <w:p w14:paraId="56BEC1D2" w14:textId="61FA342D" w:rsidR="00185873" w:rsidRPr="00A677C3" w:rsidRDefault="00185873" w:rsidP="00896F8D">
      <w:pPr>
        <w:jc w:val="both"/>
      </w:pPr>
    </w:p>
    <w:sectPr w:rsidR="00185873" w:rsidRPr="00A677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6D8E" w14:textId="77777777" w:rsidR="00212F90" w:rsidRDefault="00212F90" w:rsidP="00D1330E">
      <w:pPr>
        <w:spacing w:after="0" w:line="240" w:lineRule="auto"/>
      </w:pPr>
      <w:r>
        <w:separator/>
      </w:r>
    </w:p>
  </w:endnote>
  <w:endnote w:type="continuationSeparator" w:id="0">
    <w:p w14:paraId="05694415" w14:textId="77777777" w:rsidR="00212F90" w:rsidRDefault="00212F90" w:rsidP="00D1330E">
      <w:pPr>
        <w:spacing w:after="0" w:line="240" w:lineRule="auto"/>
      </w:pPr>
      <w:r>
        <w:continuationSeparator/>
      </w:r>
    </w:p>
  </w:endnote>
  <w:endnote w:type="continuationNotice" w:id="1">
    <w:p w14:paraId="7A45549C" w14:textId="77777777" w:rsidR="00212F90" w:rsidRDefault="00212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9CB4" w14:textId="77777777" w:rsidR="00D1330E" w:rsidRDefault="00D13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117A" w14:textId="77777777" w:rsidR="00D1330E" w:rsidRDefault="00D13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8AAB" w14:textId="77777777" w:rsidR="00D1330E" w:rsidRDefault="00D1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564B" w14:textId="77777777" w:rsidR="00212F90" w:rsidRDefault="00212F90" w:rsidP="00D1330E">
      <w:pPr>
        <w:spacing w:after="0" w:line="240" w:lineRule="auto"/>
      </w:pPr>
      <w:r>
        <w:separator/>
      </w:r>
    </w:p>
  </w:footnote>
  <w:footnote w:type="continuationSeparator" w:id="0">
    <w:p w14:paraId="6F234FD4" w14:textId="77777777" w:rsidR="00212F90" w:rsidRDefault="00212F90" w:rsidP="00D1330E">
      <w:pPr>
        <w:spacing w:after="0" w:line="240" w:lineRule="auto"/>
      </w:pPr>
      <w:r>
        <w:continuationSeparator/>
      </w:r>
    </w:p>
  </w:footnote>
  <w:footnote w:type="continuationNotice" w:id="1">
    <w:p w14:paraId="63B158F4" w14:textId="77777777" w:rsidR="00212F90" w:rsidRDefault="00212F90">
      <w:pPr>
        <w:spacing w:after="0" w:line="240" w:lineRule="auto"/>
      </w:pPr>
    </w:p>
  </w:footnote>
  <w:footnote w:id="2">
    <w:p w14:paraId="516330C2" w14:textId="77777777" w:rsidR="00C11B25" w:rsidRDefault="00C11B25" w:rsidP="00C11B25">
      <w:pPr>
        <w:pStyle w:val="FootnoteText"/>
      </w:pPr>
      <w:r>
        <w:rPr>
          <w:rStyle w:val="FootnoteReference"/>
        </w:rPr>
        <w:footnoteRef/>
      </w:r>
      <w:r>
        <w:t xml:space="preserve"> </w:t>
      </w:r>
      <w:hyperlink r:id="rId1" w:history="1">
        <w:r w:rsidRPr="001D1FD7">
          <w:rPr>
            <w:rStyle w:val="Hyperlink"/>
          </w:rPr>
          <w:t>https://www.tcd.ie/Political_Science/people/michael_gallagher/IrishElectSys.php</w:t>
        </w:r>
      </w:hyperlink>
      <w:r>
        <w:t xml:space="preserve"> </w:t>
      </w:r>
    </w:p>
  </w:footnote>
  <w:footnote w:id="3">
    <w:p w14:paraId="65526D3F" w14:textId="77777777" w:rsidR="00C11B25" w:rsidRDefault="00C11B25" w:rsidP="00C11B25">
      <w:pPr>
        <w:pStyle w:val="FootnoteText"/>
      </w:pPr>
      <w:r>
        <w:rPr>
          <w:rStyle w:val="FootnoteReference"/>
        </w:rPr>
        <w:footnoteRef/>
      </w:r>
      <w:r>
        <w:t xml:space="preserve"> </w:t>
      </w:r>
      <w:hyperlink r:id="rId2" w:history="1">
        <w:r w:rsidRPr="001D1FD7">
          <w:rPr>
            <w:rStyle w:val="Hyperlink"/>
          </w:rPr>
          <w:t>https://www.tcd.ie/Political_Science/people/michael_gallagher/Election2020.php</w:t>
        </w:r>
      </w:hyperlink>
      <w:r>
        <w:t xml:space="preserve"> </w:t>
      </w:r>
    </w:p>
  </w:footnote>
  <w:footnote w:id="4">
    <w:p w14:paraId="0A60DABA" w14:textId="366EEA16" w:rsidR="00101D87" w:rsidRDefault="00101D87">
      <w:pPr>
        <w:pStyle w:val="FootnoteText"/>
      </w:pPr>
      <w:r>
        <w:rPr>
          <w:rStyle w:val="FootnoteReference"/>
        </w:rPr>
        <w:footnoteRef/>
      </w:r>
      <w:r>
        <w:t xml:space="preserve"> </w:t>
      </w:r>
      <w:hyperlink r:id="rId3" w:history="1">
        <w:r w:rsidRPr="001D1FD7">
          <w:rPr>
            <w:rStyle w:val="Hyperlink"/>
          </w:rPr>
          <w:t>https://www.tcd.ie/Political_Science/people/michael_gallagher/ElSystems/Docts/ElectionIndices.pdf</w:t>
        </w:r>
      </w:hyperlink>
      <w:r>
        <w:t xml:space="preserve"> </w:t>
      </w:r>
    </w:p>
  </w:footnote>
  <w:footnote w:id="5">
    <w:p w14:paraId="3E2F7334" w14:textId="77777777" w:rsidR="00223C2A" w:rsidRDefault="00223C2A" w:rsidP="00223C2A">
      <w:pPr>
        <w:pStyle w:val="FootnoteText"/>
      </w:pPr>
      <w:r>
        <w:rPr>
          <w:rStyle w:val="FootnoteReference"/>
        </w:rPr>
        <w:footnoteRef/>
      </w:r>
      <w:r>
        <w:t xml:space="preserve"> </w:t>
      </w:r>
      <w:hyperlink r:id="rId4" w:history="1">
        <w:r w:rsidRPr="003363EE">
          <w:rPr>
            <w:rStyle w:val="Hyperlink"/>
          </w:rPr>
          <w:t>https://www.cso.ie/en/csolatestnews/pressreleases/2022pressreleases/pressstatementcensusofpopulation2022-preliminaryresults/</w:t>
        </w:r>
      </w:hyperlink>
      <w:r>
        <w:t xml:space="preserve"> </w:t>
      </w:r>
    </w:p>
  </w:footnote>
  <w:footnote w:id="6">
    <w:p w14:paraId="3D6365E3" w14:textId="77777777" w:rsidR="00223C2A" w:rsidRDefault="00223C2A" w:rsidP="00223C2A">
      <w:pPr>
        <w:pStyle w:val="FootnoteText"/>
      </w:pPr>
      <w:r>
        <w:rPr>
          <w:rStyle w:val="FootnoteReference"/>
        </w:rPr>
        <w:footnoteRef/>
      </w:r>
      <w:r>
        <w:t xml:space="preserve"> </w:t>
      </w:r>
      <w:hyperlink r:id="rId5" w:history="1">
        <w:r w:rsidRPr="003363EE">
          <w:rPr>
            <w:rStyle w:val="Hyperlink"/>
          </w:rPr>
          <w:t>https://www.cso.ie/en/releasesandpublications/ep/p-pme/populationandmigrationestimatesapril2022/keyfindings/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71D0" w14:textId="77777777" w:rsidR="00D1330E" w:rsidRDefault="00D1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EE60" w14:textId="180E3F91" w:rsidR="00D1330E" w:rsidRDefault="00D1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4527" w14:textId="77777777" w:rsidR="00D1330E" w:rsidRDefault="00D13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0632"/>
    <w:multiLevelType w:val="multilevel"/>
    <w:tmpl w:val="D6D8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B280B"/>
    <w:multiLevelType w:val="hybridMultilevel"/>
    <w:tmpl w:val="4F6E8B2E"/>
    <w:lvl w:ilvl="0" w:tplc="6254905A">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6B6288"/>
    <w:multiLevelType w:val="multilevel"/>
    <w:tmpl w:val="6868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A4E17"/>
    <w:multiLevelType w:val="hybridMultilevel"/>
    <w:tmpl w:val="BE44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526609">
    <w:abstractNumId w:val="1"/>
  </w:num>
  <w:num w:numId="2" w16cid:durableId="2082675184">
    <w:abstractNumId w:val="2"/>
  </w:num>
  <w:num w:numId="3" w16cid:durableId="1139107565">
    <w:abstractNumId w:val="0"/>
  </w:num>
  <w:num w:numId="4" w16cid:durableId="1181817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56"/>
    <w:rsid w:val="00032141"/>
    <w:rsid w:val="00032948"/>
    <w:rsid w:val="000A027C"/>
    <w:rsid w:val="000E221E"/>
    <w:rsid w:val="00101D87"/>
    <w:rsid w:val="001525AD"/>
    <w:rsid w:val="00152D97"/>
    <w:rsid w:val="00185873"/>
    <w:rsid w:val="001B560F"/>
    <w:rsid w:val="001C376B"/>
    <w:rsid w:val="001F0265"/>
    <w:rsid w:val="002119CC"/>
    <w:rsid w:val="00212F90"/>
    <w:rsid w:val="00223C2A"/>
    <w:rsid w:val="00226BA6"/>
    <w:rsid w:val="002554AF"/>
    <w:rsid w:val="00271377"/>
    <w:rsid w:val="002E1C8E"/>
    <w:rsid w:val="0030196C"/>
    <w:rsid w:val="0034444A"/>
    <w:rsid w:val="00357F0E"/>
    <w:rsid w:val="0036258E"/>
    <w:rsid w:val="0039781E"/>
    <w:rsid w:val="00405CA9"/>
    <w:rsid w:val="0042677A"/>
    <w:rsid w:val="004A1F6C"/>
    <w:rsid w:val="004D40F8"/>
    <w:rsid w:val="004E6127"/>
    <w:rsid w:val="004F21BB"/>
    <w:rsid w:val="00506D5F"/>
    <w:rsid w:val="00536656"/>
    <w:rsid w:val="00544998"/>
    <w:rsid w:val="00587FA0"/>
    <w:rsid w:val="00591E03"/>
    <w:rsid w:val="00592987"/>
    <w:rsid w:val="00592EB6"/>
    <w:rsid w:val="005A1340"/>
    <w:rsid w:val="005D7249"/>
    <w:rsid w:val="005F6743"/>
    <w:rsid w:val="006A61DF"/>
    <w:rsid w:val="006D1B35"/>
    <w:rsid w:val="007221CD"/>
    <w:rsid w:val="00771F84"/>
    <w:rsid w:val="00801AFF"/>
    <w:rsid w:val="008051E2"/>
    <w:rsid w:val="00822AA6"/>
    <w:rsid w:val="0084415C"/>
    <w:rsid w:val="008620BE"/>
    <w:rsid w:val="00876682"/>
    <w:rsid w:val="008924C3"/>
    <w:rsid w:val="00896F8D"/>
    <w:rsid w:val="008D5891"/>
    <w:rsid w:val="009B11D6"/>
    <w:rsid w:val="009F10D7"/>
    <w:rsid w:val="00A34872"/>
    <w:rsid w:val="00A43B09"/>
    <w:rsid w:val="00A63B92"/>
    <w:rsid w:val="00A677C3"/>
    <w:rsid w:val="00A71AE8"/>
    <w:rsid w:val="00A84A4B"/>
    <w:rsid w:val="00B02DBF"/>
    <w:rsid w:val="00B147A8"/>
    <w:rsid w:val="00B57267"/>
    <w:rsid w:val="00B7334A"/>
    <w:rsid w:val="00C06024"/>
    <w:rsid w:val="00C11B25"/>
    <w:rsid w:val="00C25581"/>
    <w:rsid w:val="00C65D30"/>
    <w:rsid w:val="00CA57F3"/>
    <w:rsid w:val="00CB0011"/>
    <w:rsid w:val="00D1330E"/>
    <w:rsid w:val="00D135D9"/>
    <w:rsid w:val="00D25CC4"/>
    <w:rsid w:val="00D45803"/>
    <w:rsid w:val="00D848B2"/>
    <w:rsid w:val="00D93E54"/>
    <w:rsid w:val="00D96D44"/>
    <w:rsid w:val="00DB14AE"/>
    <w:rsid w:val="00DB2E02"/>
    <w:rsid w:val="00DB62BC"/>
    <w:rsid w:val="00DF546C"/>
    <w:rsid w:val="00DF5C31"/>
    <w:rsid w:val="00E352F7"/>
    <w:rsid w:val="00E84F87"/>
    <w:rsid w:val="00E934B6"/>
    <w:rsid w:val="00E96A27"/>
    <w:rsid w:val="00EF393B"/>
    <w:rsid w:val="00F90DAF"/>
    <w:rsid w:val="00FA0BBB"/>
    <w:rsid w:val="00FA2E73"/>
    <w:rsid w:val="00FB52C3"/>
    <w:rsid w:val="00FC544C"/>
    <w:rsid w:val="00FF5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BB42"/>
  <w15:chartTrackingRefBased/>
  <w15:docId w15:val="{35032AF3-8834-4447-9B3D-059BBB53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B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B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1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56"/>
    <w:pPr>
      <w:ind w:left="720"/>
      <w:contextualSpacing/>
    </w:pPr>
  </w:style>
  <w:style w:type="character" w:styleId="Hyperlink">
    <w:name w:val="Hyperlink"/>
    <w:basedOn w:val="DefaultParagraphFont"/>
    <w:uiPriority w:val="99"/>
    <w:unhideWhenUsed/>
    <w:rsid w:val="00536656"/>
    <w:rPr>
      <w:color w:val="0563C1" w:themeColor="hyperlink"/>
      <w:u w:val="single"/>
    </w:rPr>
  </w:style>
  <w:style w:type="paragraph" w:styleId="Header">
    <w:name w:val="header"/>
    <w:basedOn w:val="Normal"/>
    <w:link w:val="HeaderChar"/>
    <w:uiPriority w:val="99"/>
    <w:unhideWhenUsed/>
    <w:rsid w:val="00D13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30E"/>
  </w:style>
  <w:style w:type="paragraph" w:styleId="Footer">
    <w:name w:val="footer"/>
    <w:basedOn w:val="Normal"/>
    <w:link w:val="FooterChar"/>
    <w:uiPriority w:val="99"/>
    <w:unhideWhenUsed/>
    <w:rsid w:val="00D13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30E"/>
  </w:style>
  <w:style w:type="paragraph" w:styleId="FootnoteText">
    <w:name w:val="footnote text"/>
    <w:basedOn w:val="Normal"/>
    <w:link w:val="FootnoteTextChar"/>
    <w:uiPriority w:val="99"/>
    <w:semiHidden/>
    <w:unhideWhenUsed/>
    <w:rsid w:val="00397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81E"/>
    <w:rPr>
      <w:sz w:val="20"/>
      <w:szCs w:val="20"/>
    </w:rPr>
  </w:style>
  <w:style w:type="character" w:styleId="FootnoteReference">
    <w:name w:val="footnote reference"/>
    <w:basedOn w:val="DefaultParagraphFont"/>
    <w:uiPriority w:val="99"/>
    <w:semiHidden/>
    <w:unhideWhenUsed/>
    <w:rsid w:val="0039781E"/>
    <w:rPr>
      <w:vertAlign w:val="superscript"/>
    </w:rPr>
  </w:style>
  <w:style w:type="character" w:styleId="UnresolvedMention">
    <w:name w:val="Unresolved Mention"/>
    <w:basedOn w:val="DefaultParagraphFont"/>
    <w:uiPriority w:val="99"/>
    <w:semiHidden/>
    <w:unhideWhenUsed/>
    <w:rsid w:val="0039781E"/>
    <w:rPr>
      <w:color w:val="605E5C"/>
      <w:shd w:val="clear" w:color="auto" w:fill="E1DFDD"/>
    </w:rPr>
  </w:style>
  <w:style w:type="character" w:styleId="FollowedHyperlink">
    <w:name w:val="FollowedHyperlink"/>
    <w:basedOn w:val="DefaultParagraphFont"/>
    <w:uiPriority w:val="99"/>
    <w:semiHidden/>
    <w:unhideWhenUsed/>
    <w:rsid w:val="007221CD"/>
    <w:rPr>
      <w:color w:val="954F72" w:themeColor="followedHyperlink"/>
      <w:u w:val="single"/>
    </w:rPr>
  </w:style>
  <w:style w:type="character" w:styleId="CommentReference">
    <w:name w:val="annotation reference"/>
    <w:basedOn w:val="DefaultParagraphFont"/>
    <w:uiPriority w:val="99"/>
    <w:semiHidden/>
    <w:unhideWhenUsed/>
    <w:rsid w:val="00DF5C31"/>
    <w:rPr>
      <w:sz w:val="16"/>
      <w:szCs w:val="16"/>
    </w:rPr>
  </w:style>
  <w:style w:type="paragraph" w:styleId="CommentText">
    <w:name w:val="annotation text"/>
    <w:basedOn w:val="Normal"/>
    <w:link w:val="CommentTextChar"/>
    <w:uiPriority w:val="99"/>
    <w:semiHidden/>
    <w:unhideWhenUsed/>
    <w:rsid w:val="00DF5C31"/>
    <w:pPr>
      <w:spacing w:line="240" w:lineRule="auto"/>
    </w:pPr>
    <w:rPr>
      <w:sz w:val="20"/>
      <w:szCs w:val="20"/>
    </w:rPr>
  </w:style>
  <w:style w:type="character" w:customStyle="1" w:styleId="CommentTextChar">
    <w:name w:val="Comment Text Char"/>
    <w:basedOn w:val="DefaultParagraphFont"/>
    <w:link w:val="CommentText"/>
    <w:uiPriority w:val="99"/>
    <w:semiHidden/>
    <w:rsid w:val="00DF5C31"/>
    <w:rPr>
      <w:sz w:val="20"/>
      <w:szCs w:val="20"/>
    </w:rPr>
  </w:style>
  <w:style w:type="paragraph" w:styleId="CommentSubject">
    <w:name w:val="annotation subject"/>
    <w:basedOn w:val="CommentText"/>
    <w:next w:val="CommentText"/>
    <w:link w:val="CommentSubjectChar"/>
    <w:uiPriority w:val="99"/>
    <w:semiHidden/>
    <w:unhideWhenUsed/>
    <w:rsid w:val="00DF5C31"/>
    <w:rPr>
      <w:b/>
      <w:bCs/>
    </w:rPr>
  </w:style>
  <w:style w:type="character" w:customStyle="1" w:styleId="CommentSubjectChar">
    <w:name w:val="Comment Subject Char"/>
    <w:basedOn w:val="CommentTextChar"/>
    <w:link w:val="CommentSubject"/>
    <w:uiPriority w:val="99"/>
    <w:semiHidden/>
    <w:rsid w:val="00DF5C31"/>
    <w:rPr>
      <w:b/>
      <w:bCs/>
      <w:sz w:val="20"/>
      <w:szCs w:val="20"/>
    </w:rPr>
  </w:style>
  <w:style w:type="paragraph" w:styleId="BalloonText">
    <w:name w:val="Balloon Text"/>
    <w:basedOn w:val="Normal"/>
    <w:link w:val="BalloonTextChar"/>
    <w:uiPriority w:val="99"/>
    <w:semiHidden/>
    <w:unhideWhenUsed/>
    <w:rsid w:val="00D25CC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5CC4"/>
    <w:rPr>
      <w:rFonts w:ascii="Times New Roman" w:hAnsi="Times New Roman" w:cs="Times New Roman"/>
      <w:sz w:val="18"/>
      <w:szCs w:val="18"/>
    </w:rPr>
  </w:style>
  <w:style w:type="paragraph" w:styleId="Revision">
    <w:name w:val="Revision"/>
    <w:hidden/>
    <w:uiPriority w:val="99"/>
    <w:semiHidden/>
    <w:rsid w:val="00D25CC4"/>
    <w:pPr>
      <w:spacing w:after="0" w:line="240" w:lineRule="auto"/>
    </w:pPr>
  </w:style>
  <w:style w:type="character" w:customStyle="1" w:styleId="Heading1Char">
    <w:name w:val="Heading 1 Char"/>
    <w:basedOn w:val="DefaultParagraphFont"/>
    <w:link w:val="Heading1"/>
    <w:uiPriority w:val="9"/>
    <w:rsid w:val="00C11B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1B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1B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195">
      <w:bodyDiv w:val="1"/>
      <w:marLeft w:val="0"/>
      <w:marRight w:val="0"/>
      <w:marTop w:val="0"/>
      <w:marBottom w:val="0"/>
      <w:divBdr>
        <w:top w:val="none" w:sz="0" w:space="0" w:color="auto"/>
        <w:left w:val="none" w:sz="0" w:space="0" w:color="auto"/>
        <w:bottom w:val="none" w:sz="0" w:space="0" w:color="auto"/>
        <w:right w:val="none" w:sz="0" w:space="0" w:color="auto"/>
      </w:divBdr>
    </w:div>
    <w:div w:id="56559141">
      <w:bodyDiv w:val="1"/>
      <w:marLeft w:val="0"/>
      <w:marRight w:val="0"/>
      <w:marTop w:val="0"/>
      <w:marBottom w:val="0"/>
      <w:divBdr>
        <w:top w:val="none" w:sz="0" w:space="0" w:color="auto"/>
        <w:left w:val="none" w:sz="0" w:space="0" w:color="auto"/>
        <w:bottom w:val="none" w:sz="0" w:space="0" w:color="auto"/>
        <w:right w:val="none" w:sz="0" w:space="0" w:color="auto"/>
      </w:divBdr>
    </w:div>
    <w:div w:id="1294949458">
      <w:bodyDiv w:val="1"/>
      <w:marLeft w:val="0"/>
      <w:marRight w:val="0"/>
      <w:marTop w:val="0"/>
      <w:marBottom w:val="0"/>
      <w:divBdr>
        <w:top w:val="none" w:sz="0" w:space="0" w:color="auto"/>
        <w:left w:val="none" w:sz="0" w:space="0" w:color="auto"/>
        <w:bottom w:val="none" w:sz="0" w:space="0" w:color="auto"/>
        <w:right w:val="none" w:sz="0" w:space="0" w:color="auto"/>
      </w:divBdr>
    </w:div>
    <w:div w:id="1642617003">
      <w:bodyDiv w:val="1"/>
      <w:marLeft w:val="0"/>
      <w:marRight w:val="0"/>
      <w:marTop w:val="0"/>
      <w:marBottom w:val="0"/>
      <w:divBdr>
        <w:top w:val="none" w:sz="0" w:space="0" w:color="auto"/>
        <w:left w:val="none" w:sz="0" w:space="0" w:color="auto"/>
        <w:bottom w:val="none" w:sz="0" w:space="0" w:color="auto"/>
        <w:right w:val="none" w:sz="0" w:space="0" w:color="auto"/>
      </w:divBdr>
    </w:div>
    <w:div w:id="19730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cd.ie/Political_Science/people/michael_gallagher/ElSystems/Docts/ElectionIndices.pdf" TargetMode="External"/><Relationship Id="rId2" Type="http://schemas.openxmlformats.org/officeDocument/2006/relationships/hyperlink" Target="https://www.tcd.ie/Political_Science/people/michael_gallagher/Election2020.php" TargetMode="External"/><Relationship Id="rId1" Type="http://schemas.openxmlformats.org/officeDocument/2006/relationships/hyperlink" Target="https://www.tcd.ie/Political_Science/people/michael_gallagher/IrishElectSys.php" TargetMode="External"/><Relationship Id="rId5" Type="http://schemas.openxmlformats.org/officeDocument/2006/relationships/hyperlink" Target="https://www.cso.ie/en/releasesandpublications/ep/p-pme/populationandmigrationestimatesapril2022/keyfindings/" TargetMode="External"/><Relationship Id="rId4" Type="http://schemas.openxmlformats.org/officeDocument/2006/relationships/hyperlink" Target="https://www.cso.ie/en/csolatestnews/pressreleases/2022pressreleases/pressstatementcensusofpopulation2022-preliminary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F12C6-4EC9-493B-8B8D-B07CD498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Seafra OFaolain</dc:creator>
  <cp:keywords/>
  <dc:description/>
  <cp:lastModifiedBy>Ed Davitt</cp:lastModifiedBy>
  <cp:revision>8</cp:revision>
  <dcterms:created xsi:type="dcterms:W3CDTF">2023-05-10T18:57:00Z</dcterms:created>
  <dcterms:modified xsi:type="dcterms:W3CDTF">2023-05-10T20:55:00Z</dcterms:modified>
</cp:coreProperties>
</file>