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3EE" w:rsidRDefault="002753EE" w:rsidP="002753EE">
      <w:pPr>
        <w:spacing w:after="2"/>
      </w:pPr>
    </w:p>
    <w:tbl>
      <w:tblPr>
        <w:tblStyle w:val="TableGrid"/>
        <w:tblW w:w="632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57"/>
        <w:gridCol w:w="3264"/>
      </w:tblGrid>
      <w:tr w:rsidR="002753EE" w:rsidTr="002753EE">
        <w:trPr>
          <w:trHeight w:val="230"/>
        </w:trPr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</w:tcPr>
          <w:p w:rsidR="002753EE" w:rsidRDefault="002753EE" w:rsidP="008C657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From: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</w:tcPr>
          <w:p w:rsidR="002753EE" w:rsidRDefault="002753EE" w:rsidP="008C657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Gerry Kelly </w:t>
            </w:r>
          </w:p>
        </w:tc>
      </w:tr>
      <w:tr w:rsidR="002753EE" w:rsidTr="002753EE">
        <w:trPr>
          <w:trHeight w:val="264"/>
        </w:trPr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</w:tcPr>
          <w:p w:rsidR="002753EE" w:rsidRDefault="002753EE" w:rsidP="008C657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Sent: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</w:tcPr>
          <w:p w:rsidR="002753EE" w:rsidRDefault="002753EE" w:rsidP="008C657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Tuesday 9 May 2023 00:18</w:t>
            </w:r>
          </w:p>
        </w:tc>
      </w:tr>
      <w:tr w:rsidR="002753EE" w:rsidTr="002753EE">
        <w:trPr>
          <w:trHeight w:val="264"/>
        </w:trPr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</w:tcPr>
          <w:p w:rsidR="002753EE" w:rsidRDefault="002753EE" w:rsidP="008C657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To: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</w:tcPr>
          <w:p w:rsidR="002753EE" w:rsidRDefault="002753EE" w:rsidP="008C657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ELC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ConstituencyReview</w:t>
            </w:r>
            <w:proofErr w:type="spellEnd"/>
          </w:p>
        </w:tc>
      </w:tr>
      <w:tr w:rsidR="002753EE" w:rsidTr="002753EE">
        <w:trPr>
          <w:trHeight w:val="264"/>
        </w:trPr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</w:tcPr>
          <w:p w:rsidR="002753EE" w:rsidRDefault="002753EE" w:rsidP="008C657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Subject: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</w:tcPr>
          <w:p w:rsidR="002753EE" w:rsidRDefault="002753EE" w:rsidP="008C657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Submission</w:t>
            </w:r>
          </w:p>
        </w:tc>
      </w:tr>
    </w:tbl>
    <w:p w:rsidR="002753EE" w:rsidRDefault="002753EE" w:rsidP="002753EE">
      <w:pPr>
        <w:spacing w:after="256"/>
      </w:pPr>
    </w:p>
    <w:p w:rsidR="002753EE" w:rsidRDefault="002753EE" w:rsidP="002753EE">
      <w:pPr>
        <w:spacing w:after="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To Chair of the Electoral Commission, please find attached my submission in relation to Wicklow/Kildare. I believe the easiest way to address the issue in Wicklow is to transfer a population from </w:t>
      </w:r>
      <w:proofErr w:type="spellStart"/>
      <w:r>
        <w:rPr>
          <w:rFonts w:ascii="Times New Roman" w:eastAsia="Times New Roman" w:hAnsi="Times New Roman" w:cs="Times New Roman"/>
          <w:sz w:val="24"/>
        </w:rPr>
        <w:t>Blessington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into </w:t>
      </w:r>
    </w:p>
    <w:p w:rsidR="002753EE" w:rsidRDefault="002753EE" w:rsidP="002753EE">
      <w:pPr>
        <w:spacing w:after="266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Kildare. This would allow Wicklow to remain a 5-seater white allowing Kildare to become a 4 and 5 </w:t>
      </w:r>
      <w:proofErr w:type="gramStart"/>
      <w:r>
        <w:rPr>
          <w:rFonts w:ascii="Times New Roman" w:eastAsia="Times New Roman" w:hAnsi="Times New Roman" w:cs="Times New Roman"/>
          <w:sz w:val="24"/>
        </w:rPr>
        <w:t>seater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2753EE" w:rsidRDefault="002753EE" w:rsidP="002753EE">
      <w:pPr>
        <w:spacing w:after="25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753EE" w:rsidRDefault="002753EE" w:rsidP="002753EE">
      <w:pPr>
        <w:spacing w:after="266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Regards </w:t>
      </w:r>
    </w:p>
    <w:p w:rsidR="002753EE" w:rsidRDefault="002753EE" w:rsidP="002753EE">
      <w:pPr>
        <w:spacing w:after="2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753EE" w:rsidRDefault="002753EE" w:rsidP="002753EE">
      <w:pPr>
        <w:spacing w:after="266" w:line="249" w:lineRule="auto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Gerry Kelly </w:t>
      </w:r>
    </w:p>
    <w:p w:rsidR="002753EE" w:rsidRDefault="002753EE" w:rsidP="002753EE">
      <w:pPr>
        <w:spacing w:after="266" w:line="249" w:lineRule="auto"/>
        <w:ind w:left="-5" w:hanging="10"/>
      </w:pPr>
    </w:p>
    <w:p w:rsidR="002753EE" w:rsidRDefault="002753EE" w:rsidP="002753EE">
      <w:pPr>
        <w:spacing w:after="266" w:line="249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A1676CC" wp14:editId="6AD82E39">
                <wp:simplePos x="0" y="0"/>
                <wp:positionH relativeFrom="page">
                  <wp:posOffset>467868</wp:posOffset>
                </wp:positionH>
                <wp:positionV relativeFrom="page">
                  <wp:posOffset>838200</wp:posOffset>
                </wp:positionV>
                <wp:extent cx="6624828" cy="19812"/>
                <wp:effectExtent l="0" t="0" r="0" b="0"/>
                <wp:wrapTopAndBottom/>
                <wp:docPr id="441" name="Group 4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4828" cy="19812"/>
                          <a:chOff x="0" y="0"/>
                          <a:chExt cx="6624828" cy="19812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19812"/>
                            <a:ext cx="6624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4828">
                                <a:moveTo>
                                  <a:pt x="0" y="0"/>
                                </a:moveTo>
                                <a:lnTo>
                                  <a:pt x="6624828" y="0"/>
                                </a:lnTo>
                              </a:path>
                            </a:pathLst>
                          </a:custGeom>
                          <a:ln w="4114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6624828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A49043" id="Group 441" o:spid="_x0000_s1026" style="position:absolute;margin-left:36.85pt;margin-top:66pt;width:521.65pt;height:1.55pt;z-index:251659264;mso-position-horizontal-relative:page;mso-position-vertical-relative:page" coordsize="66248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">
                <v:shape id="Shape 10" o:spid="_x0000_s1027" style="position:absolute;top:198;width:66248;height:0;visibility:visible;mso-wrap-style:square;v-text-anchor:top" coordsize="66248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" path="m,l6624828,e" filled="f" strokeweight="3.24pt">
                  <v:stroke endcap="square"/>
                  <v:path arrowok="t" textboxrect="0,0,6624828,0"/>
                </v:shape>
                <v:shape id="Shape 11" o:spid="_x0000_s1028" style="position:absolute;left:6624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" path="m,l,e" filled="f" strokeweight=".12pt">
                  <v:stroke endcap="square"/>
                  <v:path arrowok="t" textboxrect="0,0,0,0"/>
                </v:shape>
                <w10:wrap type="topAndBottom" anchorx="page" anchory="page"/>
              </v:group>
            </w:pict>
          </mc:Fallback>
        </mc:AlternateContent>
      </w:r>
      <w:r>
        <w:t>-----------------------------------------------------------------</w:t>
      </w:r>
    </w:p>
    <w:p w:rsidR="002753EE" w:rsidRPr="002753EE" w:rsidRDefault="002753EE" w:rsidP="002753E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E72D0" w:rsidRDefault="003D4ACD">
      <w:pPr>
        <w:spacing w:after="5" w:line="269" w:lineRule="auto"/>
        <w:ind w:left="10" w:right="97" w:hanging="10"/>
        <w:jc w:val="both"/>
      </w:pPr>
      <w:r>
        <w:rPr>
          <w:rFonts w:ascii="Arial" w:eastAsia="Arial" w:hAnsi="Arial" w:cs="Arial"/>
        </w:rPr>
        <w:t xml:space="preserve">Introduction </w:t>
      </w:r>
    </w:p>
    <w:p w:rsidR="003E72D0" w:rsidRDefault="003D4ACD">
      <w:pPr>
        <w:spacing w:after="19"/>
      </w:pPr>
      <w:r>
        <w:rPr>
          <w:rFonts w:ascii="Arial" w:eastAsia="Arial" w:hAnsi="Arial" w:cs="Arial"/>
        </w:rPr>
        <w:t xml:space="preserve"> </w:t>
      </w:r>
    </w:p>
    <w:p w:rsidR="003E72D0" w:rsidRDefault="003D4ACD">
      <w:pPr>
        <w:spacing w:after="8" w:line="267" w:lineRule="auto"/>
        <w:ind w:left="-5" w:right="12" w:hanging="10"/>
      </w:pPr>
      <w:r>
        <w:t xml:space="preserve">There is a population and geographic imbalance in Wicklow due to the growth of the North Wicklow area from </w:t>
      </w:r>
      <w:proofErr w:type="spellStart"/>
      <w:r>
        <w:t>Blessington</w:t>
      </w:r>
      <w:proofErr w:type="spellEnd"/>
      <w:r>
        <w:t xml:space="preserve"> to Bray.  </w:t>
      </w:r>
    </w:p>
    <w:p w:rsidR="003E72D0" w:rsidRDefault="003D4ACD">
      <w:pPr>
        <w:spacing w:after="16"/>
      </w:pPr>
      <w:r>
        <w:t xml:space="preserve"> </w:t>
      </w:r>
    </w:p>
    <w:p w:rsidR="003E72D0" w:rsidRDefault="003D4ACD">
      <w:pPr>
        <w:spacing w:after="8" w:line="267" w:lineRule="auto"/>
        <w:ind w:left="-5" w:right="12" w:hanging="10"/>
      </w:pPr>
      <w:r>
        <w:t xml:space="preserve">In order to retain Wicklow as a 5-seat constituency </w:t>
      </w:r>
      <w:r>
        <w:t xml:space="preserve">it will be necessary to transfer population to another constituency.  </w:t>
      </w:r>
    </w:p>
    <w:p w:rsidR="003E72D0" w:rsidRDefault="003D4ACD">
      <w:pPr>
        <w:spacing w:after="19"/>
      </w:pPr>
      <w:r>
        <w:t xml:space="preserve"> </w:t>
      </w:r>
    </w:p>
    <w:p w:rsidR="003E72D0" w:rsidRDefault="003D4ACD">
      <w:pPr>
        <w:spacing w:after="8" w:line="267" w:lineRule="auto"/>
        <w:ind w:left="-5" w:right="12" w:hanging="10"/>
      </w:pPr>
      <w:r>
        <w:t xml:space="preserve">The fact that the town of </w:t>
      </w:r>
      <w:proofErr w:type="spellStart"/>
      <w:r>
        <w:t>Blessington</w:t>
      </w:r>
      <w:proofErr w:type="spellEnd"/>
      <w:r>
        <w:t xml:space="preserve"> has already grown into the County of Kildare and will expand further in the coming years the incorporation of the area in Kildare makes sense.  </w:t>
      </w:r>
    </w:p>
    <w:p w:rsidR="003E72D0" w:rsidRDefault="003D4ACD">
      <w:pPr>
        <w:spacing w:after="19"/>
      </w:pPr>
      <w:r>
        <w:t xml:space="preserve"> </w:t>
      </w:r>
    </w:p>
    <w:p w:rsidR="003E72D0" w:rsidRDefault="003D4ACD">
      <w:pPr>
        <w:spacing w:after="66" w:line="267" w:lineRule="auto"/>
        <w:ind w:left="-5" w:right="12" w:hanging="10"/>
      </w:pPr>
      <w:r>
        <w:t xml:space="preserve">The business and social and economic activity in the area is also significantly co-dependent on Kildare and its neighbouring towns.  </w:t>
      </w:r>
    </w:p>
    <w:p w:rsidR="003E72D0" w:rsidRDefault="003D4ACD">
      <w:pPr>
        <w:spacing w:after="38"/>
      </w:pPr>
      <w:r>
        <w:rPr>
          <w:rFonts w:ascii="Arial" w:eastAsia="Arial" w:hAnsi="Arial" w:cs="Arial"/>
        </w:rPr>
        <w:t xml:space="preserve"> </w:t>
      </w:r>
    </w:p>
    <w:p w:rsidR="003E72D0" w:rsidRDefault="003D4ACD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3E72D0" w:rsidRDefault="003D4ACD">
      <w:pPr>
        <w:spacing w:after="153"/>
      </w:pPr>
      <w:r>
        <w:rPr>
          <w:rFonts w:ascii="Arial" w:eastAsia="Arial" w:hAnsi="Arial" w:cs="Arial"/>
        </w:rPr>
        <w:t xml:space="preserve"> </w:t>
      </w:r>
    </w:p>
    <w:p w:rsidR="003E72D0" w:rsidRDefault="003D4ACD">
      <w:pPr>
        <w:spacing w:after="0"/>
        <w:ind w:left="-5" w:hanging="10"/>
      </w:pPr>
      <w:r>
        <w:rPr>
          <w:sz w:val="28"/>
        </w:rPr>
        <w:t>Option:</w:t>
      </w:r>
      <w:r>
        <w:rPr>
          <w:sz w:val="40"/>
        </w:rPr>
        <w:t xml:space="preserve">  </w:t>
      </w:r>
    </w:p>
    <w:p w:rsidR="003E72D0" w:rsidRDefault="003D4ACD">
      <w:pPr>
        <w:spacing w:after="50"/>
      </w:pPr>
      <w:r>
        <w:t xml:space="preserve"> </w:t>
      </w:r>
    </w:p>
    <w:p w:rsidR="003E72D0" w:rsidRDefault="003D4ACD">
      <w:pPr>
        <w:numPr>
          <w:ilvl w:val="0"/>
          <w:numId w:val="1"/>
        </w:numPr>
        <w:spacing w:after="466" w:line="267" w:lineRule="auto"/>
        <w:ind w:right="12" w:hanging="360"/>
      </w:pPr>
      <w:r>
        <w:t xml:space="preserve">Wicklow to transfer </w:t>
      </w:r>
      <w:proofErr w:type="spellStart"/>
      <w:r>
        <w:t>Blessington</w:t>
      </w:r>
      <w:proofErr w:type="spellEnd"/>
      <w:r>
        <w:t xml:space="preserve"> into Kildare. Such that Wicklow can form a 5-seat constituency.  </w:t>
      </w:r>
    </w:p>
    <w:p w:rsidR="003E72D0" w:rsidRDefault="003D4ACD">
      <w:pPr>
        <w:spacing w:after="83"/>
        <w:ind w:left="-5" w:hanging="10"/>
      </w:pPr>
      <w:r>
        <w:rPr>
          <w:sz w:val="28"/>
        </w:rPr>
        <w:lastRenderedPageBreak/>
        <w:t xml:space="preserve">Statistics: </w:t>
      </w:r>
    </w:p>
    <w:p w:rsidR="003E72D0" w:rsidRDefault="003D4ACD">
      <w:pPr>
        <w:spacing w:after="0"/>
      </w:pPr>
      <w:r>
        <w:t xml:space="preserve"> </w:t>
      </w:r>
    </w:p>
    <w:tbl>
      <w:tblPr>
        <w:tblStyle w:val="TableGrid"/>
        <w:tblW w:w="6373" w:type="dxa"/>
        <w:tblInd w:w="7" w:type="dxa"/>
        <w:tblCellMar>
          <w:top w:w="10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  <w:gridCol w:w="1416"/>
        <w:gridCol w:w="1603"/>
        <w:gridCol w:w="240"/>
      </w:tblGrid>
      <w:tr w:rsidR="003E72D0">
        <w:trPr>
          <w:trHeight w:val="428"/>
        </w:trPr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2D0" w:rsidRDefault="003D4ACD">
            <w:pPr>
              <w:spacing w:after="0"/>
              <w:ind w:left="41"/>
            </w:pPr>
            <w:r>
              <w:rPr>
                <w:sz w:val="20"/>
              </w:rPr>
              <w:t xml:space="preserve">Area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2D0" w:rsidRDefault="003D4ACD">
            <w:pPr>
              <w:spacing w:after="0"/>
              <w:ind w:left="38"/>
            </w:pPr>
            <w:r>
              <w:rPr>
                <w:sz w:val="20"/>
              </w:rPr>
              <w:t xml:space="preserve">Population 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E72D0" w:rsidRDefault="003D4ACD">
            <w:pPr>
              <w:spacing w:after="0"/>
              <w:ind w:left="41"/>
            </w:pPr>
            <w:r>
              <w:rPr>
                <w:sz w:val="20"/>
              </w:rPr>
              <w:t xml:space="preserve">Number of EDs </w:t>
            </w:r>
          </w:p>
        </w:tc>
        <w:tc>
          <w:tcPr>
            <w:tcW w:w="2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E72D0" w:rsidRDefault="003E72D0"/>
        </w:tc>
      </w:tr>
      <w:tr w:rsidR="003E72D0">
        <w:trPr>
          <w:trHeight w:val="393"/>
        </w:trPr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single" w:sz="6" w:space="0" w:color="CCCCCC"/>
              <w:right w:val="single" w:sz="6" w:space="0" w:color="000000"/>
            </w:tcBorders>
          </w:tcPr>
          <w:p w:rsidR="003E72D0" w:rsidRDefault="003D4ACD">
            <w:pPr>
              <w:spacing w:after="0"/>
              <w:ind w:left="41"/>
            </w:pPr>
            <w:r>
              <w:rPr>
                <w:sz w:val="20"/>
              </w:rPr>
              <w:t xml:space="preserve">Wicklow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CCCCCC"/>
              <w:right w:val="single" w:sz="6" w:space="0" w:color="CCCCCC"/>
            </w:tcBorders>
          </w:tcPr>
          <w:p w:rsidR="003E72D0" w:rsidRDefault="003D4ACD">
            <w:pPr>
              <w:spacing w:after="0"/>
              <w:ind w:right="43"/>
              <w:jc w:val="right"/>
            </w:pPr>
            <w:r>
              <w:rPr>
                <w:sz w:val="20"/>
              </w:rPr>
              <w:t xml:space="preserve">155485 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nil"/>
            </w:tcBorders>
          </w:tcPr>
          <w:p w:rsidR="003E72D0" w:rsidRDefault="003E72D0"/>
        </w:tc>
        <w:tc>
          <w:tcPr>
            <w:tcW w:w="240" w:type="dxa"/>
            <w:tcBorders>
              <w:top w:val="single" w:sz="6" w:space="0" w:color="000000"/>
              <w:left w:val="nil"/>
              <w:bottom w:val="single" w:sz="6" w:space="0" w:color="CCCCCC"/>
              <w:right w:val="single" w:sz="6" w:space="0" w:color="000000"/>
            </w:tcBorders>
          </w:tcPr>
          <w:p w:rsidR="003E72D0" w:rsidRDefault="003D4ACD">
            <w:pPr>
              <w:spacing w:after="0"/>
              <w:jc w:val="both"/>
            </w:pPr>
            <w:r>
              <w:rPr>
                <w:sz w:val="20"/>
              </w:rPr>
              <w:t xml:space="preserve">82 </w:t>
            </w:r>
          </w:p>
        </w:tc>
      </w:tr>
      <w:tr w:rsidR="003E72D0">
        <w:trPr>
          <w:trHeight w:val="410"/>
        </w:trPr>
        <w:tc>
          <w:tcPr>
            <w:tcW w:w="31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2D0" w:rsidRDefault="003D4ACD">
            <w:pPr>
              <w:spacing w:after="0"/>
              <w:ind w:left="41"/>
            </w:pPr>
            <w:r>
              <w:rPr>
                <w:sz w:val="20"/>
              </w:rPr>
              <w:t xml:space="preserve">Wicklow (5 seats no </w:t>
            </w:r>
            <w:proofErr w:type="spellStart"/>
            <w:r>
              <w:rPr>
                <w:sz w:val="20"/>
              </w:rPr>
              <w:t>Blessington</w:t>
            </w:r>
            <w:proofErr w:type="spellEnd"/>
            <w:r>
              <w:rPr>
                <w:sz w:val="20"/>
              </w:rPr>
              <w:t xml:space="preserve">) </w:t>
            </w:r>
          </w:p>
        </w:tc>
        <w:tc>
          <w:tcPr>
            <w:tcW w:w="14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</w:tcPr>
          <w:p w:rsidR="003E72D0" w:rsidRDefault="003D4ACD">
            <w:pPr>
              <w:spacing w:after="0"/>
              <w:ind w:right="43"/>
              <w:jc w:val="right"/>
            </w:pPr>
            <w:r>
              <w:rPr>
                <w:sz w:val="20"/>
              </w:rPr>
              <w:t xml:space="preserve">145470 </w:t>
            </w:r>
          </w:p>
        </w:tc>
        <w:tc>
          <w:tcPr>
            <w:tcW w:w="16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nil"/>
            </w:tcBorders>
          </w:tcPr>
          <w:p w:rsidR="003E72D0" w:rsidRDefault="003E72D0"/>
        </w:tc>
        <w:tc>
          <w:tcPr>
            <w:tcW w:w="240" w:type="dxa"/>
            <w:tcBorders>
              <w:top w:val="single" w:sz="6" w:space="0" w:color="CCCCCC"/>
              <w:left w:val="nil"/>
              <w:bottom w:val="single" w:sz="6" w:space="0" w:color="000000"/>
              <w:right w:val="single" w:sz="6" w:space="0" w:color="000000"/>
            </w:tcBorders>
          </w:tcPr>
          <w:p w:rsidR="003E72D0" w:rsidRDefault="003D4ACD">
            <w:pPr>
              <w:spacing w:after="0"/>
              <w:jc w:val="both"/>
            </w:pPr>
            <w:r>
              <w:rPr>
                <w:sz w:val="20"/>
              </w:rPr>
              <w:t xml:space="preserve">76 </w:t>
            </w:r>
          </w:p>
        </w:tc>
      </w:tr>
    </w:tbl>
    <w:p w:rsidR="003E72D0" w:rsidRDefault="003D4ACD">
      <w:pPr>
        <w:spacing w:after="16"/>
      </w:pPr>
      <w:r>
        <w:t xml:space="preserve"> </w:t>
      </w:r>
    </w:p>
    <w:p w:rsidR="003E72D0" w:rsidRDefault="003D4ACD">
      <w:pPr>
        <w:spacing w:after="0"/>
      </w:pPr>
      <w:r>
        <w:t xml:space="preserve"> </w:t>
      </w:r>
    </w:p>
    <w:tbl>
      <w:tblPr>
        <w:tblStyle w:val="TableGrid"/>
        <w:tblW w:w="9026" w:type="dxa"/>
        <w:tblInd w:w="7" w:type="dxa"/>
        <w:tblCellMar>
          <w:top w:w="0" w:type="dxa"/>
          <w:left w:w="41" w:type="dxa"/>
          <w:bottom w:w="64" w:type="dxa"/>
          <w:right w:w="0" w:type="dxa"/>
        </w:tblCellMar>
        <w:tblLook w:val="04A0" w:firstRow="1" w:lastRow="0" w:firstColumn="1" w:lastColumn="0" w:noHBand="0" w:noVBand="1"/>
      </w:tblPr>
      <w:tblGrid>
        <w:gridCol w:w="1934"/>
        <w:gridCol w:w="2177"/>
        <w:gridCol w:w="1229"/>
        <w:gridCol w:w="1230"/>
        <w:gridCol w:w="1229"/>
        <w:gridCol w:w="1227"/>
      </w:tblGrid>
      <w:tr w:rsidR="003E72D0">
        <w:trPr>
          <w:trHeight w:val="482"/>
        </w:trPr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E72D0" w:rsidRDefault="003D4ACD">
            <w:pPr>
              <w:spacing w:after="0"/>
            </w:pPr>
            <w:r>
              <w:rPr>
                <w:sz w:val="20"/>
              </w:rPr>
              <w:t xml:space="preserve">Constituency 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E72D0" w:rsidRDefault="003D4ACD">
            <w:pPr>
              <w:spacing w:after="0"/>
              <w:ind w:right="42"/>
              <w:jc w:val="right"/>
            </w:pPr>
            <w:r>
              <w:rPr>
                <w:sz w:val="20"/>
              </w:rPr>
              <w:t xml:space="preserve">177 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E72D0" w:rsidRDefault="003D4ACD">
            <w:pPr>
              <w:spacing w:after="0"/>
              <w:ind w:right="42"/>
              <w:jc w:val="right"/>
            </w:pPr>
            <w:r>
              <w:rPr>
                <w:sz w:val="20"/>
              </w:rPr>
              <w:t xml:space="preserve">178 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E72D0" w:rsidRDefault="003D4ACD">
            <w:pPr>
              <w:spacing w:after="0"/>
              <w:ind w:right="43"/>
              <w:jc w:val="right"/>
            </w:pPr>
            <w:r>
              <w:rPr>
                <w:sz w:val="20"/>
              </w:rPr>
              <w:t xml:space="preserve">179 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E72D0" w:rsidRDefault="003D4ACD">
            <w:pPr>
              <w:spacing w:after="0"/>
              <w:ind w:right="43"/>
              <w:jc w:val="right"/>
            </w:pPr>
            <w:r>
              <w:rPr>
                <w:sz w:val="20"/>
              </w:rPr>
              <w:t xml:space="preserve">180 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E72D0" w:rsidRDefault="003D4ACD">
            <w:pPr>
              <w:spacing w:after="0"/>
              <w:ind w:right="41"/>
              <w:jc w:val="right"/>
            </w:pPr>
            <w:r>
              <w:rPr>
                <w:sz w:val="20"/>
              </w:rPr>
              <w:t xml:space="preserve">181 </w:t>
            </w:r>
          </w:p>
        </w:tc>
      </w:tr>
      <w:tr w:rsidR="003E72D0">
        <w:trPr>
          <w:trHeight w:val="747"/>
        </w:trPr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E72D0" w:rsidRDefault="003D4ACD">
            <w:pPr>
              <w:spacing w:after="18"/>
            </w:pPr>
            <w:r>
              <w:rPr>
                <w:sz w:val="20"/>
              </w:rPr>
              <w:t xml:space="preserve">Wicklow (5 seat no </w:t>
            </w:r>
          </w:p>
          <w:p w:rsidR="003E72D0" w:rsidRDefault="003D4ACD">
            <w:pPr>
              <w:spacing w:after="0"/>
            </w:pPr>
            <w:proofErr w:type="spellStart"/>
            <w:r>
              <w:rPr>
                <w:sz w:val="20"/>
              </w:rPr>
              <w:t>Blessington</w:t>
            </w:r>
            <w:proofErr w:type="spellEnd"/>
            <w:r>
              <w:rPr>
                <w:sz w:val="20"/>
              </w:rPr>
              <w:t xml:space="preserve">) 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B7E1CD"/>
            <w:vAlign w:val="bottom"/>
          </w:tcPr>
          <w:p w:rsidR="003E72D0" w:rsidRDefault="003D4ACD">
            <w:pPr>
              <w:spacing w:after="0"/>
              <w:ind w:right="40"/>
              <w:jc w:val="right"/>
            </w:pPr>
            <w:r>
              <w:rPr>
                <w:sz w:val="18"/>
              </w:rPr>
              <w:t>5.03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vAlign w:val="bottom"/>
          </w:tcPr>
          <w:p w:rsidR="003E72D0" w:rsidRDefault="003D4ACD">
            <w:pPr>
              <w:spacing w:after="0"/>
              <w:ind w:right="40"/>
              <w:jc w:val="right"/>
            </w:pPr>
            <w:r>
              <w:rPr>
                <w:sz w:val="18"/>
              </w:rPr>
              <w:t>5.05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vAlign w:val="bottom"/>
          </w:tcPr>
          <w:p w:rsidR="003E72D0" w:rsidRDefault="003D4ACD">
            <w:pPr>
              <w:spacing w:after="0"/>
              <w:ind w:right="41"/>
              <w:jc w:val="right"/>
            </w:pPr>
            <w:r>
              <w:rPr>
                <w:sz w:val="18"/>
              </w:rPr>
              <w:t>5.08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vAlign w:val="bottom"/>
          </w:tcPr>
          <w:p w:rsidR="003E72D0" w:rsidRDefault="003D4ACD">
            <w:pPr>
              <w:spacing w:after="0"/>
              <w:ind w:right="41"/>
              <w:jc w:val="right"/>
            </w:pPr>
            <w:r>
              <w:rPr>
                <w:sz w:val="18"/>
              </w:rPr>
              <w:t>5.11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vAlign w:val="bottom"/>
          </w:tcPr>
          <w:p w:rsidR="003E72D0" w:rsidRDefault="003D4ACD">
            <w:pPr>
              <w:spacing w:after="0"/>
              <w:ind w:right="39"/>
              <w:jc w:val="right"/>
            </w:pPr>
            <w:r>
              <w:rPr>
                <w:sz w:val="18"/>
              </w:rPr>
              <w:t>5.14</w:t>
            </w:r>
            <w:r>
              <w:rPr>
                <w:sz w:val="20"/>
              </w:rPr>
              <w:t xml:space="preserve"> </w:t>
            </w:r>
          </w:p>
        </w:tc>
      </w:tr>
    </w:tbl>
    <w:p w:rsidR="003E72D0" w:rsidRDefault="003D4ACD">
      <w:pPr>
        <w:spacing w:after="19"/>
      </w:pPr>
      <w:r>
        <w:rPr>
          <w:b/>
        </w:rPr>
        <w:t xml:space="preserve"> </w:t>
      </w:r>
    </w:p>
    <w:p w:rsidR="003E72D0" w:rsidRDefault="003D4ACD">
      <w:pPr>
        <w:spacing w:after="17"/>
      </w:pPr>
      <w:r>
        <w:rPr>
          <w:b/>
        </w:rPr>
        <w:t xml:space="preserve"> </w:t>
      </w:r>
    </w:p>
    <w:p w:rsidR="003E72D0" w:rsidRDefault="003D4ACD">
      <w:pPr>
        <w:spacing w:after="52"/>
      </w:pPr>
      <w:r>
        <w:rPr>
          <w:b/>
        </w:rPr>
        <w:t xml:space="preserve">Notes: </w:t>
      </w:r>
    </w:p>
    <w:p w:rsidR="003E72D0" w:rsidRDefault="003D4ACD">
      <w:pPr>
        <w:numPr>
          <w:ilvl w:val="0"/>
          <w:numId w:val="1"/>
        </w:numPr>
        <w:spacing w:after="45" w:line="267" w:lineRule="auto"/>
        <w:ind w:right="12" w:hanging="360"/>
      </w:pPr>
      <w:r>
        <w:t xml:space="preserve">Based off the 5% variance rule the following is true  </w:t>
      </w:r>
    </w:p>
    <w:p w:rsidR="003E72D0" w:rsidRDefault="003D4ACD">
      <w:pPr>
        <w:spacing w:after="8" w:line="267" w:lineRule="auto"/>
        <w:ind w:left="1090" w:right="12" w:hanging="10"/>
      </w:pPr>
      <w:r>
        <w:t>○</w:t>
      </w:r>
      <w:r>
        <w:rPr>
          <w:rFonts w:ascii="Arial" w:eastAsia="Arial" w:hAnsi="Arial" w:cs="Arial"/>
        </w:rPr>
        <w:t xml:space="preserve"> </w:t>
      </w:r>
      <w:r>
        <w:t xml:space="preserve">Valid 5 seat constituencies can form for 4.75 - 5.25 </w:t>
      </w:r>
    </w:p>
    <w:p w:rsidR="003E72D0" w:rsidRDefault="003D4ACD">
      <w:pPr>
        <w:spacing w:after="19"/>
      </w:pPr>
      <w:r>
        <w:t xml:space="preserve"> </w:t>
      </w:r>
    </w:p>
    <w:p w:rsidR="003E72D0" w:rsidRDefault="003D4ACD">
      <w:pPr>
        <w:spacing w:after="41" w:line="267" w:lineRule="auto"/>
        <w:ind w:left="-5" w:right="12" w:hanging="10"/>
      </w:pPr>
      <w:r>
        <w:t xml:space="preserve">In the above table any cell highlighted green, is a configuration that can form a valid constituency within the 5% variation rule.  </w:t>
      </w:r>
    </w:p>
    <w:p w:rsidR="003E72D0" w:rsidRDefault="003D4ACD">
      <w:pPr>
        <w:numPr>
          <w:ilvl w:val="0"/>
          <w:numId w:val="1"/>
        </w:numPr>
        <w:spacing w:after="8" w:line="267" w:lineRule="auto"/>
        <w:ind w:right="12" w:hanging="360"/>
      </w:pPr>
      <w:r>
        <w:t xml:space="preserve">Wicklow (No </w:t>
      </w:r>
      <w:proofErr w:type="spellStart"/>
      <w:r>
        <w:t>Blessington</w:t>
      </w:r>
      <w:proofErr w:type="spellEnd"/>
      <w:r>
        <w:t xml:space="preserve">) </w:t>
      </w:r>
    </w:p>
    <w:p w:rsidR="003E72D0" w:rsidRDefault="003D4ACD">
      <w:pPr>
        <w:spacing w:after="19"/>
      </w:pPr>
      <w:r>
        <w:t xml:space="preserve"> </w:t>
      </w:r>
    </w:p>
    <w:p w:rsidR="003E72D0" w:rsidRDefault="003D4ACD">
      <w:pPr>
        <w:spacing w:after="0"/>
      </w:pPr>
      <w:r>
        <w:t xml:space="preserve"> </w:t>
      </w:r>
    </w:p>
    <w:p w:rsidR="003E72D0" w:rsidRDefault="003D4ACD">
      <w:pPr>
        <w:spacing w:after="19"/>
      </w:pPr>
      <w:r>
        <w:t xml:space="preserve"> </w:t>
      </w:r>
    </w:p>
    <w:p w:rsidR="003E72D0" w:rsidRDefault="003D4ACD">
      <w:pPr>
        <w:spacing w:after="393"/>
      </w:pPr>
      <w:r>
        <w:t xml:space="preserve"> </w:t>
      </w:r>
    </w:p>
    <w:p w:rsidR="003E72D0" w:rsidRDefault="003D4ACD">
      <w:pPr>
        <w:pStyle w:val="Heading1"/>
        <w:spacing w:after="47"/>
        <w:ind w:left="-5"/>
      </w:pPr>
      <w:r>
        <w:t xml:space="preserve">EDs: Wicklow (Excluding </w:t>
      </w:r>
      <w:proofErr w:type="spellStart"/>
      <w:r>
        <w:t>Blessington</w:t>
      </w:r>
      <w:proofErr w:type="spellEnd"/>
      <w:r>
        <w:t xml:space="preserve">) </w:t>
      </w:r>
    </w:p>
    <w:p w:rsidR="003E72D0" w:rsidRDefault="003D4ACD">
      <w:pPr>
        <w:spacing w:after="8" w:line="267" w:lineRule="auto"/>
        <w:ind w:left="-5" w:right="12" w:hanging="10"/>
      </w:pPr>
      <w:r>
        <w:t xml:space="preserve">This table shows the EDs to be transferred to Kildare. The remaining EDs within Wicklow will make up our proposed Wicklow constituency. </w:t>
      </w:r>
    </w:p>
    <w:p w:rsidR="003E72D0" w:rsidRDefault="003D4ACD">
      <w:pPr>
        <w:spacing w:after="0"/>
      </w:pPr>
      <w:r>
        <w:t xml:space="preserve"> </w:t>
      </w:r>
    </w:p>
    <w:tbl>
      <w:tblPr>
        <w:tblStyle w:val="TableGrid"/>
        <w:tblW w:w="9018" w:type="dxa"/>
        <w:tblInd w:w="7" w:type="dxa"/>
        <w:tblCellMar>
          <w:top w:w="91" w:type="dxa"/>
          <w:left w:w="38" w:type="dxa"/>
          <w:bottom w:w="81" w:type="dxa"/>
          <w:right w:w="0" w:type="dxa"/>
        </w:tblCellMar>
        <w:tblLook w:val="04A0" w:firstRow="1" w:lastRow="0" w:firstColumn="1" w:lastColumn="0" w:noHBand="0" w:noVBand="1"/>
      </w:tblPr>
      <w:tblGrid>
        <w:gridCol w:w="1199"/>
        <w:gridCol w:w="1801"/>
        <w:gridCol w:w="1200"/>
        <w:gridCol w:w="1412"/>
        <w:gridCol w:w="2206"/>
        <w:gridCol w:w="1200"/>
      </w:tblGrid>
      <w:tr w:rsidR="003E72D0">
        <w:trPr>
          <w:trHeight w:val="410"/>
        </w:trPr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3E72D0" w:rsidRDefault="003D4ACD">
            <w:pPr>
              <w:spacing w:after="0"/>
              <w:ind w:left="2"/>
            </w:pPr>
            <w:r>
              <w:rPr>
                <w:sz w:val="20"/>
              </w:rPr>
              <w:t xml:space="preserve">ED_ID </w:t>
            </w:r>
          </w:p>
        </w:tc>
        <w:tc>
          <w:tcPr>
            <w:tcW w:w="18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3E72D0" w:rsidRDefault="003D4ACD">
            <w:pPr>
              <w:spacing w:after="0"/>
              <w:ind w:left="2"/>
            </w:pPr>
            <w:r>
              <w:rPr>
                <w:sz w:val="20"/>
              </w:rPr>
              <w:t xml:space="preserve">ENGLISH 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3E72D0" w:rsidRDefault="003D4ACD">
            <w:pPr>
              <w:spacing w:after="0"/>
              <w:ind w:left="2"/>
            </w:pPr>
            <w:r>
              <w:rPr>
                <w:sz w:val="20"/>
              </w:rPr>
              <w:t xml:space="preserve">GAEILGE </w:t>
            </w:r>
          </w:p>
        </w:tc>
        <w:tc>
          <w:tcPr>
            <w:tcW w:w="14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3E72D0" w:rsidRDefault="003D4ACD">
            <w:pPr>
              <w:spacing w:after="0"/>
              <w:ind w:left="2"/>
            </w:pPr>
            <w:r>
              <w:rPr>
                <w:sz w:val="20"/>
              </w:rPr>
              <w:t xml:space="preserve">CSOED_3409 </w:t>
            </w:r>
          </w:p>
        </w:tc>
        <w:tc>
          <w:tcPr>
            <w:tcW w:w="22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3E72D0" w:rsidRDefault="003D4ACD">
            <w:pPr>
              <w:spacing w:after="0"/>
            </w:pPr>
            <w:proofErr w:type="spellStart"/>
            <w:r>
              <w:rPr>
                <w:sz w:val="20"/>
              </w:rPr>
              <w:t>Electoral_Division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3E72D0" w:rsidRDefault="003D4ACD">
            <w:pPr>
              <w:spacing w:after="0"/>
            </w:pPr>
            <w:r>
              <w:rPr>
                <w:sz w:val="20"/>
              </w:rPr>
              <w:t xml:space="preserve">Population </w:t>
            </w:r>
          </w:p>
        </w:tc>
      </w:tr>
      <w:tr w:rsidR="003E72D0">
        <w:trPr>
          <w:trHeight w:val="410"/>
        </w:trPr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3E72D0" w:rsidRDefault="003D4ACD">
            <w:pPr>
              <w:spacing w:after="0"/>
              <w:ind w:left="2"/>
            </w:pPr>
            <w:r>
              <w:rPr>
                <w:sz w:val="20"/>
              </w:rPr>
              <w:t xml:space="preserve">257046 </w:t>
            </w:r>
          </w:p>
        </w:tc>
        <w:tc>
          <w:tcPr>
            <w:tcW w:w="18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3E72D0" w:rsidRDefault="003D4ACD">
            <w:pPr>
              <w:spacing w:after="0"/>
              <w:ind w:left="2"/>
            </w:pPr>
            <w:r>
              <w:rPr>
                <w:sz w:val="20"/>
              </w:rPr>
              <w:t xml:space="preserve">KILBRIDE 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3E72D0" w:rsidRDefault="003D4ACD">
            <w:pPr>
              <w:spacing w:after="0"/>
              <w:ind w:left="2"/>
            </w:pPr>
            <w:proofErr w:type="spellStart"/>
            <w:r>
              <w:rPr>
                <w:sz w:val="20"/>
              </w:rPr>
              <w:t>Cill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Bhríde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4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3E72D0" w:rsidRDefault="003D4ACD">
            <w:pPr>
              <w:spacing w:after="0"/>
              <w:ind w:right="43"/>
              <w:jc w:val="right"/>
            </w:pPr>
            <w:r>
              <w:rPr>
                <w:sz w:val="20"/>
              </w:rPr>
              <w:t xml:space="preserve">15021 </w:t>
            </w:r>
          </w:p>
        </w:tc>
        <w:tc>
          <w:tcPr>
            <w:tcW w:w="22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3E72D0" w:rsidRDefault="003D4ACD">
            <w:pPr>
              <w:spacing w:after="0"/>
            </w:pPr>
            <w:r>
              <w:rPr>
                <w:sz w:val="20"/>
              </w:rPr>
              <w:t xml:space="preserve">Kilbride, </w:t>
            </w:r>
            <w:proofErr w:type="spellStart"/>
            <w:r>
              <w:rPr>
                <w:sz w:val="20"/>
              </w:rPr>
              <w:t>Co.Wicklow</w:t>
            </w:r>
            <w:proofErr w:type="spellEnd"/>
            <w:r>
              <w:rPr>
                <w:sz w:val="20"/>
              </w:rPr>
              <w:t xml:space="preserve">, 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3E72D0" w:rsidRDefault="003D4ACD">
            <w:pPr>
              <w:spacing w:after="0"/>
              <w:ind w:right="43"/>
              <w:jc w:val="right"/>
            </w:pPr>
            <w:r>
              <w:rPr>
                <w:sz w:val="20"/>
              </w:rPr>
              <w:t xml:space="preserve">1080 </w:t>
            </w:r>
          </w:p>
        </w:tc>
      </w:tr>
      <w:tr w:rsidR="003E72D0">
        <w:trPr>
          <w:trHeight w:val="408"/>
        </w:trPr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3E72D0" w:rsidRDefault="003D4ACD">
            <w:pPr>
              <w:spacing w:after="0"/>
              <w:ind w:left="2"/>
            </w:pPr>
            <w:r>
              <w:rPr>
                <w:sz w:val="20"/>
              </w:rPr>
              <w:t xml:space="preserve">257073 </w:t>
            </w:r>
          </w:p>
        </w:tc>
        <w:tc>
          <w:tcPr>
            <w:tcW w:w="18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3E72D0" w:rsidRDefault="003D4ACD">
            <w:pPr>
              <w:spacing w:after="0"/>
              <w:ind w:left="2"/>
            </w:pPr>
            <w:r>
              <w:rPr>
                <w:sz w:val="20"/>
              </w:rPr>
              <w:t xml:space="preserve">TOGHER 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3E72D0" w:rsidRDefault="003D4ACD">
            <w:pPr>
              <w:spacing w:after="0"/>
              <w:ind w:left="2"/>
            </w:pPr>
            <w:r>
              <w:rPr>
                <w:sz w:val="20"/>
              </w:rPr>
              <w:t xml:space="preserve">An </w:t>
            </w:r>
            <w:proofErr w:type="spellStart"/>
            <w:r>
              <w:rPr>
                <w:sz w:val="20"/>
              </w:rPr>
              <w:t>Tóchar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4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3E72D0" w:rsidRDefault="003D4ACD">
            <w:pPr>
              <w:spacing w:after="0"/>
              <w:ind w:right="43"/>
              <w:jc w:val="right"/>
            </w:pPr>
            <w:r>
              <w:rPr>
                <w:sz w:val="20"/>
              </w:rPr>
              <w:t xml:space="preserve">15030 </w:t>
            </w:r>
          </w:p>
        </w:tc>
        <w:tc>
          <w:tcPr>
            <w:tcW w:w="22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3E72D0" w:rsidRDefault="003D4ACD">
            <w:pPr>
              <w:spacing w:after="0"/>
            </w:pPr>
            <w:proofErr w:type="spellStart"/>
            <w:r>
              <w:rPr>
                <w:sz w:val="20"/>
              </w:rPr>
              <w:t>Togher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Co.Wicklow</w:t>
            </w:r>
            <w:proofErr w:type="spellEnd"/>
            <w:r>
              <w:rPr>
                <w:sz w:val="20"/>
              </w:rPr>
              <w:t xml:space="preserve">, 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3E72D0" w:rsidRDefault="003D4ACD">
            <w:pPr>
              <w:spacing w:after="0"/>
              <w:ind w:right="43"/>
              <w:jc w:val="right"/>
            </w:pPr>
            <w:r>
              <w:rPr>
                <w:sz w:val="20"/>
              </w:rPr>
              <w:t xml:space="preserve">381 </w:t>
            </w:r>
          </w:p>
        </w:tc>
      </w:tr>
      <w:tr w:rsidR="003E72D0">
        <w:trPr>
          <w:trHeight w:val="411"/>
        </w:trPr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3E72D0" w:rsidRDefault="003D4ACD">
            <w:pPr>
              <w:spacing w:after="0"/>
              <w:ind w:left="2"/>
            </w:pPr>
            <w:r>
              <w:rPr>
                <w:sz w:val="20"/>
              </w:rPr>
              <w:t xml:space="preserve">257054 </w:t>
            </w:r>
          </w:p>
        </w:tc>
        <w:tc>
          <w:tcPr>
            <w:tcW w:w="18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3E72D0" w:rsidRDefault="003D4ACD">
            <w:pPr>
              <w:spacing w:after="0"/>
              <w:ind w:left="2"/>
            </w:pPr>
            <w:r>
              <w:rPr>
                <w:sz w:val="20"/>
              </w:rPr>
              <w:t xml:space="preserve">LACKAN 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3E72D0" w:rsidRDefault="003D4ACD">
            <w:pPr>
              <w:spacing w:after="0"/>
              <w:ind w:left="2"/>
            </w:pPr>
            <w:r>
              <w:rPr>
                <w:sz w:val="20"/>
              </w:rPr>
              <w:t xml:space="preserve">An </w:t>
            </w:r>
            <w:proofErr w:type="spellStart"/>
            <w:r>
              <w:rPr>
                <w:sz w:val="20"/>
              </w:rPr>
              <w:t>Leacain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4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3E72D0" w:rsidRDefault="003D4ACD">
            <w:pPr>
              <w:spacing w:after="0"/>
              <w:ind w:right="43"/>
              <w:jc w:val="right"/>
            </w:pPr>
            <w:r>
              <w:rPr>
                <w:sz w:val="20"/>
              </w:rPr>
              <w:t xml:space="preserve">15022 </w:t>
            </w:r>
          </w:p>
        </w:tc>
        <w:tc>
          <w:tcPr>
            <w:tcW w:w="22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3E72D0" w:rsidRDefault="003D4ACD">
            <w:pPr>
              <w:spacing w:after="0"/>
            </w:pPr>
            <w:proofErr w:type="spellStart"/>
            <w:r>
              <w:rPr>
                <w:sz w:val="20"/>
              </w:rPr>
              <w:t>Lackan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Co.Wicklow</w:t>
            </w:r>
            <w:proofErr w:type="spellEnd"/>
            <w:r>
              <w:rPr>
                <w:sz w:val="20"/>
              </w:rPr>
              <w:t xml:space="preserve">, 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3E72D0" w:rsidRDefault="003D4ACD">
            <w:pPr>
              <w:spacing w:after="0"/>
              <w:ind w:right="43"/>
              <w:jc w:val="right"/>
            </w:pPr>
            <w:r>
              <w:rPr>
                <w:sz w:val="20"/>
              </w:rPr>
              <w:t xml:space="preserve">839 </w:t>
            </w:r>
          </w:p>
        </w:tc>
      </w:tr>
      <w:tr w:rsidR="003E72D0">
        <w:trPr>
          <w:trHeight w:val="658"/>
        </w:trPr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:rsidR="003E72D0" w:rsidRDefault="003D4ACD">
            <w:pPr>
              <w:spacing w:after="0"/>
              <w:ind w:left="2"/>
            </w:pPr>
            <w:r>
              <w:rPr>
                <w:sz w:val="20"/>
              </w:rPr>
              <w:t xml:space="preserve">257041 </w:t>
            </w:r>
          </w:p>
        </w:tc>
        <w:tc>
          <w:tcPr>
            <w:tcW w:w="18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:rsidR="003E72D0" w:rsidRDefault="003D4ACD">
            <w:pPr>
              <w:spacing w:after="0"/>
              <w:ind w:left="2"/>
            </w:pPr>
            <w:r>
              <w:rPr>
                <w:sz w:val="20"/>
              </w:rPr>
              <w:t xml:space="preserve">HOLLYWOOD 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3E72D0" w:rsidRDefault="003D4ACD">
            <w:pPr>
              <w:spacing w:after="18"/>
              <w:ind w:left="2"/>
            </w:pPr>
            <w:proofErr w:type="spellStart"/>
            <w:r>
              <w:rPr>
                <w:sz w:val="20"/>
              </w:rPr>
              <w:t>Cillín</w:t>
            </w:r>
            <w:proofErr w:type="spellEnd"/>
            <w:r>
              <w:rPr>
                <w:sz w:val="20"/>
              </w:rPr>
              <w:t xml:space="preserve"> </w:t>
            </w:r>
          </w:p>
          <w:p w:rsidR="003E72D0" w:rsidRDefault="003D4ACD">
            <w:pPr>
              <w:spacing w:after="0"/>
              <w:ind w:left="2"/>
            </w:pPr>
            <w:proofErr w:type="spellStart"/>
            <w:r>
              <w:rPr>
                <w:sz w:val="20"/>
              </w:rPr>
              <w:t>Chaoimhín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4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:rsidR="003E72D0" w:rsidRDefault="003D4ACD">
            <w:pPr>
              <w:spacing w:after="0"/>
              <w:ind w:right="43"/>
              <w:jc w:val="right"/>
            </w:pPr>
            <w:r>
              <w:rPr>
                <w:sz w:val="20"/>
              </w:rPr>
              <w:t xml:space="preserve">15017 </w:t>
            </w:r>
          </w:p>
        </w:tc>
        <w:tc>
          <w:tcPr>
            <w:tcW w:w="22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:rsidR="003E72D0" w:rsidRDefault="003D4ACD">
            <w:pPr>
              <w:spacing w:after="0"/>
            </w:pPr>
            <w:r>
              <w:rPr>
                <w:sz w:val="20"/>
              </w:rPr>
              <w:t xml:space="preserve">Hollywood, </w:t>
            </w:r>
            <w:proofErr w:type="spellStart"/>
            <w:r>
              <w:rPr>
                <w:sz w:val="20"/>
              </w:rPr>
              <w:t>Co.Wicklow</w:t>
            </w:r>
            <w:proofErr w:type="spellEnd"/>
            <w:r>
              <w:rPr>
                <w:sz w:val="20"/>
              </w:rPr>
              <w:t xml:space="preserve">, 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:rsidR="003E72D0" w:rsidRDefault="003D4ACD">
            <w:pPr>
              <w:spacing w:after="0"/>
              <w:ind w:right="43"/>
              <w:jc w:val="right"/>
            </w:pPr>
            <w:r>
              <w:rPr>
                <w:sz w:val="20"/>
              </w:rPr>
              <w:t xml:space="preserve">827 </w:t>
            </w:r>
          </w:p>
        </w:tc>
      </w:tr>
      <w:tr w:rsidR="003E72D0">
        <w:trPr>
          <w:trHeight w:val="428"/>
        </w:trPr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2D0" w:rsidRDefault="003D4ACD">
            <w:pPr>
              <w:spacing w:after="0"/>
              <w:ind w:left="2"/>
            </w:pPr>
            <w:r>
              <w:rPr>
                <w:sz w:val="20"/>
              </w:rPr>
              <w:lastRenderedPageBreak/>
              <w:t xml:space="preserve">257019 </w:t>
            </w:r>
          </w:p>
        </w:tc>
        <w:tc>
          <w:tcPr>
            <w:tcW w:w="18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2D0" w:rsidRDefault="003D4ACD">
            <w:pPr>
              <w:spacing w:after="0"/>
              <w:ind w:left="2"/>
            </w:pPr>
            <w:r>
              <w:rPr>
                <w:sz w:val="20"/>
              </w:rPr>
              <w:t xml:space="preserve">BURGAGE 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2D0" w:rsidRDefault="003D4ACD">
            <w:pPr>
              <w:spacing w:after="0"/>
              <w:ind w:left="2"/>
            </w:pPr>
            <w:r>
              <w:rPr>
                <w:sz w:val="20"/>
              </w:rPr>
              <w:t xml:space="preserve">An </w:t>
            </w:r>
            <w:proofErr w:type="spellStart"/>
            <w:r>
              <w:rPr>
                <w:sz w:val="20"/>
              </w:rPr>
              <w:t>Bhuiríos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4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2D0" w:rsidRDefault="003D4ACD">
            <w:pPr>
              <w:spacing w:after="0"/>
              <w:ind w:right="43"/>
              <w:jc w:val="right"/>
            </w:pPr>
            <w:r>
              <w:rPr>
                <w:sz w:val="20"/>
              </w:rPr>
              <w:t xml:space="preserve">15011 </w:t>
            </w:r>
          </w:p>
        </w:tc>
        <w:tc>
          <w:tcPr>
            <w:tcW w:w="22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2D0" w:rsidRDefault="003D4ACD">
            <w:pPr>
              <w:spacing w:after="0"/>
            </w:pPr>
            <w:proofErr w:type="spellStart"/>
            <w:r>
              <w:rPr>
                <w:sz w:val="20"/>
              </w:rPr>
              <w:t>Burgage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Co.Wicklow</w:t>
            </w:r>
            <w:proofErr w:type="spellEnd"/>
            <w:r>
              <w:rPr>
                <w:sz w:val="20"/>
              </w:rPr>
              <w:t xml:space="preserve">, 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2D0" w:rsidRDefault="003D4ACD">
            <w:pPr>
              <w:spacing w:after="0"/>
              <w:ind w:right="43"/>
              <w:jc w:val="right"/>
            </w:pPr>
            <w:r>
              <w:rPr>
                <w:sz w:val="20"/>
              </w:rPr>
              <w:t xml:space="preserve">2304 </w:t>
            </w:r>
          </w:p>
        </w:tc>
      </w:tr>
      <w:tr w:rsidR="003E72D0">
        <w:trPr>
          <w:trHeight w:val="393"/>
        </w:trPr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3E72D0" w:rsidRDefault="003D4ACD">
            <w:pPr>
              <w:spacing w:after="0"/>
              <w:ind w:left="2"/>
            </w:pPr>
            <w:r>
              <w:rPr>
                <w:sz w:val="20"/>
              </w:rPr>
              <w:t xml:space="preserve">257016 </w:t>
            </w:r>
          </w:p>
        </w:tc>
        <w:tc>
          <w:tcPr>
            <w:tcW w:w="18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3E72D0" w:rsidRDefault="003D4ACD">
            <w:pPr>
              <w:spacing w:after="0"/>
              <w:ind w:left="2"/>
            </w:pPr>
            <w:r>
              <w:rPr>
                <w:sz w:val="20"/>
              </w:rPr>
              <w:t xml:space="preserve">BLESSINGTON 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3E72D0" w:rsidRDefault="003D4ACD">
            <w:pPr>
              <w:spacing w:after="0"/>
              <w:ind w:left="2"/>
            </w:pPr>
            <w:proofErr w:type="spellStart"/>
            <w:r>
              <w:rPr>
                <w:sz w:val="20"/>
              </w:rPr>
              <w:t>Baile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Coimín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4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3E72D0" w:rsidRDefault="003D4ACD">
            <w:pPr>
              <w:spacing w:after="0"/>
              <w:ind w:right="43"/>
              <w:jc w:val="right"/>
            </w:pPr>
            <w:r>
              <w:rPr>
                <w:sz w:val="20"/>
              </w:rPr>
              <w:t xml:space="preserve">15010 </w:t>
            </w:r>
          </w:p>
        </w:tc>
        <w:tc>
          <w:tcPr>
            <w:tcW w:w="22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3E72D0" w:rsidRDefault="003D4ACD">
            <w:pPr>
              <w:spacing w:after="0"/>
            </w:pPr>
            <w:proofErr w:type="spellStart"/>
            <w:r>
              <w:rPr>
                <w:sz w:val="20"/>
              </w:rPr>
              <w:t>Blessington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Co.Wicklow</w:t>
            </w:r>
            <w:proofErr w:type="spellEnd"/>
            <w:r>
              <w:rPr>
                <w:sz w:val="20"/>
              </w:rPr>
              <w:t xml:space="preserve">, 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3E72D0" w:rsidRDefault="003D4ACD">
            <w:pPr>
              <w:spacing w:after="0"/>
              <w:ind w:right="43"/>
              <w:jc w:val="right"/>
            </w:pPr>
            <w:r>
              <w:rPr>
                <w:sz w:val="20"/>
              </w:rPr>
              <w:t xml:space="preserve">4584 </w:t>
            </w:r>
          </w:p>
        </w:tc>
      </w:tr>
    </w:tbl>
    <w:p w:rsidR="003E72D0" w:rsidRDefault="003D4ACD">
      <w:pPr>
        <w:spacing w:after="16"/>
      </w:pPr>
      <w:r>
        <w:t xml:space="preserve"> </w:t>
      </w:r>
    </w:p>
    <w:p w:rsidR="003E72D0" w:rsidRDefault="003D4ACD" w:rsidP="00FB1F3E">
      <w:pPr>
        <w:spacing w:after="19"/>
      </w:pPr>
      <w:r>
        <w:t xml:space="preserve"> </w:t>
      </w:r>
    </w:p>
    <w:p w:rsidR="003E72D0" w:rsidRDefault="003D4ACD" w:rsidP="00FB1F3E">
      <w:pPr>
        <w:spacing w:after="16"/>
      </w:pPr>
      <w:r>
        <w:t xml:space="preserve"> </w:t>
      </w:r>
      <w:r>
        <w:rPr>
          <w:sz w:val="28"/>
        </w:rPr>
        <w:t xml:space="preserve">Wicklow (Excluding </w:t>
      </w:r>
      <w:proofErr w:type="spellStart"/>
      <w:r>
        <w:rPr>
          <w:sz w:val="28"/>
        </w:rPr>
        <w:t>Blessington</w:t>
      </w:r>
      <w:proofErr w:type="spellEnd"/>
      <w:r>
        <w:rPr>
          <w:sz w:val="28"/>
        </w:rPr>
        <w:t xml:space="preserve">) </w:t>
      </w:r>
    </w:p>
    <w:p w:rsidR="003E72D0" w:rsidRDefault="003D4ACD">
      <w:pPr>
        <w:spacing w:after="395"/>
      </w:pPr>
      <w:r>
        <w:t xml:space="preserve"> </w:t>
      </w:r>
    </w:p>
    <w:p w:rsidR="003E72D0" w:rsidRDefault="003D4ACD">
      <w:pPr>
        <w:pStyle w:val="Heading1"/>
        <w:ind w:left="-5"/>
      </w:pPr>
      <w:r>
        <w:t xml:space="preserve">Map </w:t>
      </w:r>
      <w:proofErr w:type="gramStart"/>
      <w:r>
        <w:t>1 :</w:t>
      </w:r>
      <w:proofErr w:type="gramEnd"/>
      <w:r>
        <w:t xml:space="preserve"> EDs that make up suggestion  plus LEAs </w:t>
      </w:r>
    </w:p>
    <w:p w:rsidR="003E72D0" w:rsidRDefault="003D4ACD">
      <w:pPr>
        <w:numPr>
          <w:ilvl w:val="0"/>
          <w:numId w:val="2"/>
        </w:numPr>
        <w:spacing w:after="53"/>
        <w:ind w:right="40" w:hanging="360"/>
      </w:pPr>
      <w:r>
        <w:t xml:space="preserve">Segments coloured blue are the EDs that would make up the proposed Wicklow 5-seater </w:t>
      </w:r>
    </w:p>
    <w:p w:rsidR="003E72D0" w:rsidRDefault="003D4ACD">
      <w:pPr>
        <w:numPr>
          <w:ilvl w:val="0"/>
          <w:numId w:val="2"/>
        </w:numPr>
        <w:spacing w:after="8" w:line="267" w:lineRule="auto"/>
        <w:ind w:right="40" w:hanging="360"/>
      </w:pPr>
      <w:r>
        <w:t xml:space="preserve">The red area is the part of </w:t>
      </w:r>
      <w:proofErr w:type="spellStart"/>
      <w:r>
        <w:t>Baltinglass</w:t>
      </w:r>
      <w:proofErr w:type="spellEnd"/>
      <w:r>
        <w:t xml:space="preserve"> local electoral area that would be transferred i</w:t>
      </w:r>
      <w:r>
        <w:t xml:space="preserve">nto Kildare </w:t>
      </w:r>
    </w:p>
    <w:p w:rsidR="003E72D0" w:rsidRDefault="003D4ACD">
      <w:pPr>
        <w:spacing w:after="19"/>
      </w:pPr>
      <w:r>
        <w:t xml:space="preserve"> </w:t>
      </w:r>
    </w:p>
    <w:p w:rsidR="003E72D0" w:rsidRDefault="003D4ACD">
      <w:pPr>
        <w:spacing w:after="0"/>
      </w:pPr>
      <w:r>
        <w:t xml:space="preserve"> </w:t>
      </w:r>
    </w:p>
    <w:p w:rsidR="003E72D0" w:rsidRDefault="003D4ACD">
      <w:pPr>
        <w:spacing w:after="338"/>
        <w:jc w:val="right"/>
      </w:pPr>
      <w:r>
        <w:rPr>
          <w:noProof/>
        </w:rPr>
        <w:drawing>
          <wp:inline distT="0" distB="0" distL="0" distR="0">
            <wp:extent cx="5730875" cy="3822446"/>
            <wp:effectExtent l="0" t="0" r="0" b="0"/>
            <wp:docPr id="578" name="Picture 5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" name="Picture 57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0875" cy="382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3E72D0" w:rsidRDefault="003D4ACD">
      <w:pPr>
        <w:spacing w:after="45"/>
      </w:pPr>
      <w:r>
        <w:rPr>
          <w:color w:val="434343"/>
          <w:sz w:val="28"/>
        </w:rPr>
        <w:t xml:space="preserve"> </w:t>
      </w:r>
    </w:p>
    <w:p w:rsidR="003E72D0" w:rsidRDefault="003D4ACD">
      <w:pPr>
        <w:spacing w:after="0"/>
      </w:pPr>
      <w:r>
        <w:t xml:space="preserve"> </w:t>
      </w:r>
    </w:p>
    <w:p w:rsidR="003E72D0" w:rsidRDefault="003D4ACD">
      <w:pPr>
        <w:spacing w:after="343"/>
      </w:pPr>
      <w:r>
        <w:rPr>
          <w:color w:val="434343"/>
          <w:sz w:val="28"/>
        </w:rPr>
        <w:t xml:space="preserve"> </w:t>
      </w:r>
    </w:p>
    <w:p w:rsidR="003E72D0" w:rsidRDefault="003D4ACD">
      <w:pPr>
        <w:spacing w:after="343"/>
      </w:pPr>
      <w:r>
        <w:rPr>
          <w:color w:val="434343"/>
          <w:sz w:val="28"/>
        </w:rPr>
        <w:t xml:space="preserve"> </w:t>
      </w:r>
    </w:p>
    <w:p w:rsidR="003E72D0" w:rsidRDefault="003D4ACD">
      <w:pPr>
        <w:pStyle w:val="Heading1"/>
        <w:ind w:left="-5"/>
      </w:pPr>
      <w:r>
        <w:lastRenderedPageBreak/>
        <w:t xml:space="preserve">Map </w:t>
      </w:r>
      <w:proofErr w:type="gramStart"/>
      <w:r>
        <w:t>2 :</w:t>
      </w:r>
      <w:proofErr w:type="gramEnd"/>
      <w:r>
        <w:t xml:space="preserve"> EDs that make up suggestion and EDs that Do not </w:t>
      </w:r>
    </w:p>
    <w:p w:rsidR="003D4ACD" w:rsidRDefault="003D4ACD">
      <w:pPr>
        <w:spacing w:after="35" w:line="267" w:lineRule="auto"/>
        <w:ind w:left="370" w:right="246" w:hanging="10"/>
      </w:pPr>
      <w:r>
        <w:t>●</w:t>
      </w:r>
      <w:r>
        <w:rPr>
          <w:rFonts w:ascii="Arial" w:eastAsia="Arial" w:hAnsi="Arial" w:cs="Arial"/>
        </w:rPr>
        <w:t xml:space="preserve"> </w:t>
      </w:r>
      <w:r>
        <w:t xml:space="preserve">Segments coloured blue are the EDs that would make up the proposed Wicklow 5-seater </w:t>
      </w:r>
    </w:p>
    <w:p w:rsidR="003E72D0" w:rsidRDefault="003D4ACD">
      <w:pPr>
        <w:spacing w:after="35" w:line="267" w:lineRule="auto"/>
        <w:ind w:left="370" w:right="246" w:hanging="10"/>
      </w:pPr>
      <w:bookmarkStart w:id="0" w:name="_GoBack"/>
      <w:bookmarkEnd w:id="0"/>
      <w:r>
        <w:t>●</w:t>
      </w:r>
      <w:r>
        <w:rPr>
          <w:rFonts w:ascii="Arial" w:eastAsia="Arial" w:hAnsi="Arial" w:cs="Arial"/>
        </w:rPr>
        <w:t xml:space="preserve"> </w:t>
      </w:r>
      <w:r>
        <w:t xml:space="preserve">The yellow EDs are the ones we suggest be transferred to Kildare. </w:t>
      </w:r>
    </w:p>
    <w:p w:rsidR="003E72D0" w:rsidRDefault="003D4ACD">
      <w:pPr>
        <w:spacing w:after="0"/>
        <w:jc w:val="right"/>
      </w:pPr>
      <w:r>
        <w:rPr>
          <w:noProof/>
        </w:rPr>
        <w:drawing>
          <wp:inline distT="0" distB="0" distL="0" distR="0">
            <wp:extent cx="5730875" cy="3822447"/>
            <wp:effectExtent l="0" t="0" r="0" b="0"/>
            <wp:docPr id="619" name="Picture 6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" name="Picture 61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0875" cy="3822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3E72D0" w:rsidRDefault="003D4ACD">
      <w:pPr>
        <w:spacing w:after="16"/>
      </w:pPr>
      <w:r>
        <w:t xml:space="preserve"> </w:t>
      </w:r>
    </w:p>
    <w:p w:rsidR="003E72D0" w:rsidRDefault="003D4ACD">
      <w:pPr>
        <w:spacing w:after="19"/>
      </w:pPr>
      <w:r>
        <w:t xml:space="preserve"> </w:t>
      </w:r>
    </w:p>
    <w:p w:rsidR="003E72D0" w:rsidRDefault="003D4ACD">
      <w:pPr>
        <w:spacing w:after="19"/>
      </w:pPr>
      <w:r>
        <w:t xml:space="preserve"> </w:t>
      </w:r>
    </w:p>
    <w:p w:rsidR="003E72D0" w:rsidRDefault="003D4ACD">
      <w:pPr>
        <w:spacing w:after="19"/>
      </w:pPr>
      <w:r>
        <w:t xml:space="preserve"> </w:t>
      </w:r>
    </w:p>
    <w:p w:rsidR="003E72D0" w:rsidRDefault="003D4ACD" w:rsidP="00FB1F3E">
      <w:pPr>
        <w:spacing w:after="19"/>
      </w:pPr>
      <w:r>
        <w:rPr>
          <w:rFonts w:ascii="Arial" w:eastAsia="Arial" w:hAnsi="Arial" w:cs="Arial"/>
          <w:sz w:val="40"/>
        </w:rPr>
        <w:t xml:space="preserve">Impact On Kildare </w:t>
      </w:r>
    </w:p>
    <w:p w:rsidR="003E72D0" w:rsidRDefault="003D4ACD">
      <w:pPr>
        <w:spacing w:after="5" w:line="269" w:lineRule="auto"/>
        <w:ind w:left="10" w:right="97" w:hanging="10"/>
        <w:jc w:val="both"/>
      </w:pP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</w:rPr>
        <w:t xml:space="preserve">his section outlines some brief notes about the impact of transferring </w:t>
      </w:r>
      <w:proofErr w:type="spellStart"/>
      <w:r>
        <w:rPr>
          <w:rFonts w:ascii="Arial" w:eastAsia="Arial" w:hAnsi="Arial" w:cs="Arial"/>
        </w:rPr>
        <w:t>Blessington</w:t>
      </w:r>
      <w:proofErr w:type="spellEnd"/>
      <w:r>
        <w:rPr>
          <w:rFonts w:ascii="Arial" w:eastAsia="Arial" w:hAnsi="Arial" w:cs="Arial"/>
        </w:rPr>
        <w:t xml:space="preserve"> into Kildare </w:t>
      </w:r>
    </w:p>
    <w:p w:rsidR="003E72D0" w:rsidRDefault="003D4ACD">
      <w:pPr>
        <w:numPr>
          <w:ilvl w:val="0"/>
          <w:numId w:val="3"/>
        </w:numPr>
        <w:spacing w:after="5" w:line="269" w:lineRule="auto"/>
        <w:ind w:right="97" w:hanging="360"/>
        <w:jc w:val="both"/>
      </w:pPr>
      <w:r>
        <w:rPr>
          <w:rFonts w:ascii="Arial" w:eastAsia="Arial" w:hAnsi="Arial" w:cs="Arial"/>
        </w:rPr>
        <w:t xml:space="preserve">If we consider Kildare as a standalone county  </w:t>
      </w:r>
    </w:p>
    <w:p w:rsidR="003E72D0" w:rsidRDefault="003D4ACD">
      <w:pPr>
        <w:numPr>
          <w:ilvl w:val="1"/>
          <w:numId w:val="3"/>
        </w:numPr>
        <w:spacing w:after="5" w:line="269" w:lineRule="auto"/>
        <w:ind w:right="97" w:hanging="360"/>
        <w:jc w:val="both"/>
      </w:pPr>
      <w:r>
        <w:rPr>
          <w:rFonts w:ascii="Arial" w:eastAsia="Arial" w:hAnsi="Arial" w:cs="Arial"/>
        </w:rPr>
        <w:t xml:space="preserve">Population: </w:t>
      </w:r>
      <w:r>
        <w:rPr>
          <w:rFonts w:ascii="Arial" w:eastAsia="Arial" w:hAnsi="Arial" w:cs="Arial"/>
          <w:sz w:val="20"/>
        </w:rPr>
        <w:t>246977</w:t>
      </w:r>
      <w:r>
        <w:rPr>
          <w:rFonts w:ascii="Arial" w:eastAsia="Arial" w:hAnsi="Arial" w:cs="Arial"/>
        </w:rPr>
        <w:t xml:space="preserve"> </w:t>
      </w:r>
    </w:p>
    <w:p w:rsidR="003E72D0" w:rsidRDefault="003D4ACD">
      <w:pPr>
        <w:spacing w:after="22"/>
        <w:ind w:left="1435" w:hanging="370"/>
      </w:pPr>
      <w:r>
        <w:rPr>
          <w:rFonts w:ascii="Arial" w:eastAsia="Arial" w:hAnsi="Arial" w:cs="Arial"/>
          <w:sz w:val="20"/>
        </w:rPr>
        <w:t xml:space="preserve">○ </w:t>
      </w:r>
      <w:r>
        <w:rPr>
          <w:rFonts w:ascii="Arial" w:eastAsia="Arial" w:hAnsi="Arial" w:cs="Arial"/>
          <w:sz w:val="20"/>
        </w:rPr>
        <w:tab/>
        <w:t>171-</w:t>
      </w:r>
      <w:r>
        <w:rPr>
          <w:rFonts w:ascii="Arial" w:eastAsia="Arial" w:hAnsi="Arial" w:cs="Arial"/>
          <w:sz w:val="20"/>
        </w:rPr>
        <w:t xml:space="preserve">174 can be split into two four seat constituencies while maintaining county boundaries </w:t>
      </w:r>
    </w:p>
    <w:p w:rsidR="003E72D0" w:rsidRDefault="003D4ACD">
      <w:pPr>
        <w:tabs>
          <w:tab w:val="center" w:pos="1140"/>
          <w:tab w:val="center" w:pos="4616"/>
        </w:tabs>
        <w:spacing w:after="22"/>
      </w:pPr>
      <w:r>
        <w:tab/>
      </w:r>
      <w:r>
        <w:rPr>
          <w:rFonts w:ascii="Arial" w:eastAsia="Arial" w:hAnsi="Arial" w:cs="Arial"/>
          <w:sz w:val="20"/>
        </w:rPr>
        <w:t xml:space="preserve">○ </w:t>
      </w:r>
      <w:r>
        <w:rPr>
          <w:rFonts w:ascii="Arial" w:eastAsia="Arial" w:hAnsi="Arial" w:cs="Arial"/>
          <w:sz w:val="20"/>
        </w:rPr>
        <w:tab/>
        <w:t xml:space="preserve">From 178-181 can sustain 9 seats while maintaining county boundaries. </w:t>
      </w:r>
    </w:p>
    <w:p w:rsidR="003E72D0" w:rsidRDefault="003D4ACD">
      <w:pPr>
        <w:spacing w:after="45"/>
        <w:ind w:left="1440"/>
      </w:pPr>
      <w:r>
        <w:rPr>
          <w:rFonts w:ascii="Arial" w:eastAsia="Arial" w:hAnsi="Arial" w:cs="Arial"/>
          <w:sz w:val="20"/>
        </w:rPr>
        <w:t xml:space="preserve"> </w:t>
      </w:r>
    </w:p>
    <w:p w:rsidR="003E72D0" w:rsidRDefault="003D4ACD">
      <w:pPr>
        <w:numPr>
          <w:ilvl w:val="0"/>
          <w:numId w:val="3"/>
        </w:numPr>
        <w:spacing w:after="5" w:line="269" w:lineRule="auto"/>
        <w:ind w:right="97" w:hanging="360"/>
        <w:jc w:val="both"/>
      </w:pPr>
      <w:r>
        <w:rPr>
          <w:rFonts w:ascii="Arial" w:eastAsia="Arial" w:hAnsi="Arial" w:cs="Arial"/>
          <w:sz w:val="20"/>
        </w:rPr>
        <w:t xml:space="preserve">By transferring the </w:t>
      </w:r>
      <w:proofErr w:type="spellStart"/>
      <w:r>
        <w:rPr>
          <w:rFonts w:ascii="Arial" w:eastAsia="Arial" w:hAnsi="Arial" w:cs="Arial"/>
          <w:sz w:val="20"/>
        </w:rPr>
        <w:t>Blessington</w:t>
      </w:r>
      <w:proofErr w:type="spellEnd"/>
      <w:r>
        <w:rPr>
          <w:rFonts w:ascii="Arial" w:eastAsia="Arial" w:hAnsi="Arial" w:cs="Arial"/>
        </w:rPr>
        <w:t xml:space="preserve"> region (highlighted in Yellow), Kildare can form a 5 seat a</w:t>
      </w:r>
      <w:r>
        <w:rPr>
          <w:rFonts w:ascii="Arial" w:eastAsia="Arial" w:hAnsi="Arial" w:cs="Arial"/>
        </w:rPr>
        <w:t xml:space="preserve">nd 4 seat constituency at 171-181 seat </w:t>
      </w:r>
      <w:proofErr w:type="spellStart"/>
      <w:r>
        <w:rPr>
          <w:rFonts w:ascii="Arial" w:eastAsia="Arial" w:hAnsi="Arial" w:cs="Arial"/>
        </w:rPr>
        <w:t>Dáil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z w:val="20"/>
        </w:rPr>
        <w:t xml:space="preserve"> </w:t>
      </w:r>
    </w:p>
    <w:p w:rsidR="003E72D0" w:rsidRDefault="003D4ACD">
      <w:pPr>
        <w:spacing w:after="36"/>
        <w:ind w:left="720"/>
      </w:pPr>
      <w:r>
        <w:rPr>
          <w:rFonts w:ascii="Arial" w:eastAsia="Arial" w:hAnsi="Arial" w:cs="Arial"/>
          <w:sz w:val="20"/>
        </w:rPr>
        <w:t xml:space="preserve"> </w:t>
      </w:r>
    </w:p>
    <w:p w:rsidR="003E72D0" w:rsidRDefault="003D4ACD">
      <w:pPr>
        <w:numPr>
          <w:ilvl w:val="0"/>
          <w:numId w:val="3"/>
        </w:numPr>
        <w:spacing w:after="5" w:line="269" w:lineRule="auto"/>
        <w:ind w:right="97" w:hanging="360"/>
        <w:jc w:val="both"/>
      </w:pPr>
      <w:r>
        <w:rPr>
          <w:rFonts w:ascii="Arial" w:eastAsia="Arial" w:hAnsi="Arial" w:cs="Arial"/>
        </w:rPr>
        <w:t xml:space="preserve">Currently Kildare North and Kildare South are not able to form valid constituencies within the 5% variance </w:t>
      </w:r>
    </w:p>
    <w:p w:rsidR="003E72D0" w:rsidRDefault="003D4ACD">
      <w:pPr>
        <w:numPr>
          <w:ilvl w:val="1"/>
          <w:numId w:val="3"/>
        </w:numPr>
        <w:spacing w:after="5" w:line="269" w:lineRule="auto"/>
        <w:ind w:right="97" w:hanging="360"/>
        <w:jc w:val="both"/>
      </w:pPr>
      <w:r>
        <w:rPr>
          <w:rFonts w:ascii="Arial" w:eastAsia="Arial" w:hAnsi="Arial" w:cs="Arial"/>
        </w:rPr>
        <w:t xml:space="preserve">Except for Kildare South at 171 seats </w:t>
      </w:r>
    </w:p>
    <w:p w:rsidR="003E72D0" w:rsidRDefault="003D4ACD">
      <w:pPr>
        <w:spacing w:after="17"/>
        <w:ind w:left="1440"/>
      </w:pPr>
      <w:r>
        <w:rPr>
          <w:rFonts w:ascii="Arial" w:eastAsia="Arial" w:hAnsi="Arial" w:cs="Arial"/>
        </w:rPr>
        <w:t xml:space="preserve"> </w:t>
      </w:r>
    </w:p>
    <w:p w:rsidR="003E72D0" w:rsidRDefault="003D4ACD">
      <w:pPr>
        <w:numPr>
          <w:ilvl w:val="0"/>
          <w:numId w:val="3"/>
        </w:numPr>
        <w:spacing w:after="5" w:line="269" w:lineRule="auto"/>
        <w:ind w:right="97" w:hanging="360"/>
        <w:jc w:val="both"/>
      </w:pPr>
      <w:r>
        <w:rPr>
          <w:rFonts w:ascii="Arial" w:eastAsia="Arial" w:hAnsi="Arial" w:cs="Arial"/>
        </w:rPr>
        <w:t>This submission would allow Wicklow to form a 5 seat consti</w:t>
      </w:r>
      <w:r>
        <w:rPr>
          <w:rFonts w:ascii="Arial" w:eastAsia="Arial" w:hAnsi="Arial" w:cs="Arial"/>
        </w:rPr>
        <w:t xml:space="preserve">tuency. While allowing Kildare sufficient population to divide itself such that the total number of seats sum to 9  </w:t>
      </w:r>
    </w:p>
    <w:p w:rsidR="003E72D0" w:rsidRDefault="003D4ACD">
      <w:pPr>
        <w:numPr>
          <w:ilvl w:val="1"/>
          <w:numId w:val="3"/>
        </w:numPr>
        <w:spacing w:after="5" w:line="269" w:lineRule="auto"/>
        <w:ind w:right="97" w:hanging="360"/>
        <w:jc w:val="both"/>
      </w:pPr>
      <w:r>
        <w:rPr>
          <w:rFonts w:ascii="Arial" w:eastAsia="Arial" w:hAnsi="Arial" w:cs="Arial"/>
        </w:rPr>
        <w:lastRenderedPageBreak/>
        <w:t xml:space="preserve">4 + 5 or 3 + 3 + 3 </w:t>
      </w:r>
    </w:p>
    <w:sectPr w:rsidR="003E72D0">
      <w:pgSz w:w="11909" w:h="16834"/>
      <w:pgMar w:top="1447" w:right="1393" w:bottom="1475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ACD" w:rsidRDefault="003D4ACD" w:rsidP="003D4ACD">
      <w:pPr>
        <w:spacing w:after="0" w:line="240" w:lineRule="auto"/>
      </w:pPr>
      <w:r>
        <w:separator/>
      </w:r>
    </w:p>
  </w:endnote>
  <w:endnote w:type="continuationSeparator" w:id="0">
    <w:p w:rsidR="003D4ACD" w:rsidRDefault="003D4ACD" w:rsidP="003D4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ACD" w:rsidRDefault="003D4ACD" w:rsidP="003D4ACD">
      <w:pPr>
        <w:spacing w:after="0" w:line="240" w:lineRule="auto"/>
      </w:pPr>
      <w:r>
        <w:separator/>
      </w:r>
    </w:p>
  </w:footnote>
  <w:footnote w:type="continuationSeparator" w:id="0">
    <w:p w:rsidR="003D4ACD" w:rsidRDefault="003D4ACD" w:rsidP="003D4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A0305"/>
    <w:multiLevelType w:val="hybridMultilevel"/>
    <w:tmpl w:val="1A78D6BE"/>
    <w:lvl w:ilvl="0" w:tplc="E172500E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BC7110">
      <w:numFmt w:val="taiwaneseCounting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EE417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64635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281F6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F270A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742A0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3C9B9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BC395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862818"/>
    <w:multiLevelType w:val="hybridMultilevel"/>
    <w:tmpl w:val="B1940DC8"/>
    <w:lvl w:ilvl="0" w:tplc="1FA44D62">
      <w:start w:val="1"/>
      <w:numFmt w:val="bullet"/>
      <w:lvlText w:val="●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20A20C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4C064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62D7EC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DA8EB6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CAAB2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7A0D7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FE5CEA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D68D78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3A211DD"/>
    <w:multiLevelType w:val="hybridMultilevel"/>
    <w:tmpl w:val="04CC6374"/>
    <w:lvl w:ilvl="0" w:tplc="D68EBECC">
      <w:start w:val="1"/>
      <w:numFmt w:val="bullet"/>
      <w:lvlText w:val="●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2A971C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48294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AA0278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347928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D0D77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4A643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4645B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46CB0C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2D0"/>
    <w:rsid w:val="00076D45"/>
    <w:rsid w:val="002753EE"/>
    <w:rsid w:val="003D4ACD"/>
    <w:rsid w:val="003E72D0"/>
    <w:rsid w:val="00FB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230CE"/>
  <w15:docId w15:val="{06991F7D-3286-4E28-A082-745385C8F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79"/>
      <w:ind w:left="10" w:hanging="10"/>
      <w:outlineLvl w:val="0"/>
    </w:pPr>
    <w:rPr>
      <w:rFonts w:ascii="Calibri" w:eastAsia="Calibri" w:hAnsi="Calibri" w:cs="Calibri"/>
      <w:color w:val="434343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434343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D4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ACD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D4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AC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5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Casey</dc:creator>
  <cp:keywords/>
  <cp:lastModifiedBy>Emma O’Donoghue (ELC)</cp:lastModifiedBy>
  <cp:revision>4</cp:revision>
  <dcterms:created xsi:type="dcterms:W3CDTF">2023-05-16T11:02:00Z</dcterms:created>
  <dcterms:modified xsi:type="dcterms:W3CDTF">2023-05-16T15:45:00Z</dcterms:modified>
</cp:coreProperties>
</file>