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7B0" w:rsidRDefault="007B1B37">
      <w:pPr>
        <w:spacing w:after="0" w:line="259" w:lineRule="auto"/>
        <w:ind w:left="0" w:firstLine="0"/>
      </w:pPr>
      <w:r>
        <w:rPr>
          <w:b/>
          <w:color w:val="FF0000"/>
        </w:rPr>
        <w:t xml:space="preserve">Galway-West Labour Party </w:t>
      </w:r>
    </w:p>
    <w:p w:rsidR="00CB17B0" w:rsidRDefault="007B1B37">
      <w:pPr>
        <w:spacing w:after="250" w:line="259" w:lineRule="auto"/>
        <w:ind w:left="0" w:firstLine="0"/>
        <w:jc w:val="right"/>
      </w:pPr>
      <w:r>
        <w:t xml:space="preserve">10 May, 2023 </w:t>
      </w:r>
    </w:p>
    <w:p w:rsidR="00CB17B0" w:rsidRDefault="007B1B37">
      <w:pPr>
        <w:tabs>
          <w:tab w:val="center" w:pos="2065"/>
        </w:tabs>
        <w:spacing w:after="4"/>
        <w:ind w:left="-15" w:firstLine="0"/>
      </w:pPr>
      <w:r>
        <w:t xml:space="preserve">To: </w:t>
      </w:r>
      <w:r>
        <w:tab/>
        <w:t xml:space="preserve">An </w:t>
      </w:r>
      <w:proofErr w:type="spellStart"/>
      <w:r>
        <w:t>Coimisiún</w:t>
      </w:r>
      <w:proofErr w:type="spellEnd"/>
      <w:r>
        <w:t xml:space="preserve"> </w:t>
      </w:r>
      <w:proofErr w:type="spellStart"/>
      <w:r>
        <w:t>Toghcháin</w:t>
      </w:r>
      <w:proofErr w:type="spellEnd"/>
      <w:r>
        <w:t xml:space="preserve"> </w:t>
      </w:r>
    </w:p>
    <w:p w:rsidR="00CB17B0" w:rsidRDefault="007B1B37">
      <w:pPr>
        <w:spacing w:after="4"/>
        <w:ind w:left="730"/>
      </w:pPr>
      <w:r>
        <w:t xml:space="preserve">Dublin Castle </w:t>
      </w:r>
    </w:p>
    <w:p w:rsidR="00CB17B0" w:rsidRDefault="007B1B37">
      <w:pPr>
        <w:ind w:left="730"/>
      </w:pPr>
      <w:r>
        <w:t xml:space="preserve">Dublin 2 </w:t>
      </w:r>
    </w:p>
    <w:p w:rsidR="00CB17B0" w:rsidRDefault="007B1B37">
      <w:pPr>
        <w:ind w:left="-5"/>
      </w:pPr>
      <w:r>
        <w:t xml:space="preserve">This submission is made to </w:t>
      </w:r>
      <w:proofErr w:type="gramStart"/>
      <w:r>
        <w:t>An</w:t>
      </w:r>
      <w:proofErr w:type="gramEnd"/>
      <w:r>
        <w:t xml:space="preserve"> </w:t>
      </w:r>
      <w:proofErr w:type="spellStart"/>
      <w:r>
        <w:t>Coimisiún</w:t>
      </w:r>
      <w:proofErr w:type="spellEnd"/>
      <w:r>
        <w:t xml:space="preserve"> </w:t>
      </w:r>
      <w:proofErr w:type="spellStart"/>
      <w:r>
        <w:t>Toghcháin</w:t>
      </w:r>
      <w:proofErr w:type="spellEnd"/>
      <w:r>
        <w:t xml:space="preserve"> in response to the call for submissions to inform the current </w:t>
      </w:r>
      <w:proofErr w:type="spellStart"/>
      <w:r>
        <w:t>Dáil</w:t>
      </w:r>
      <w:proofErr w:type="spellEnd"/>
      <w:r>
        <w:t xml:space="preserve"> constituency review. The submission is made on behalf of </w:t>
      </w:r>
      <w:r>
        <w:rPr>
          <w:b/>
          <w:i/>
        </w:rPr>
        <w:t>Galway-West Labour Party</w:t>
      </w:r>
      <w:r>
        <w:t xml:space="preserve">. </w:t>
      </w:r>
    </w:p>
    <w:p w:rsidR="00CB17B0" w:rsidRDefault="007B1B37">
      <w:pPr>
        <w:ind w:left="-5"/>
      </w:pPr>
      <w:r>
        <w:t xml:space="preserve">Summary: </w:t>
      </w:r>
    </w:p>
    <w:p w:rsidR="00CB17B0" w:rsidRDefault="007B1B37">
      <w:pPr>
        <w:numPr>
          <w:ilvl w:val="0"/>
          <w:numId w:val="1"/>
        </w:numPr>
        <w:spacing w:after="3"/>
        <w:ind w:hanging="360"/>
      </w:pPr>
      <w:r>
        <w:t>We propose that the total number of TDs shoul</w:t>
      </w:r>
      <w:r>
        <w:t xml:space="preserve">d be set at the upper limit of the range available to the commission. </w:t>
      </w:r>
    </w:p>
    <w:p w:rsidR="00CB17B0" w:rsidRDefault="007B1B37">
      <w:pPr>
        <w:numPr>
          <w:ilvl w:val="0"/>
          <w:numId w:val="1"/>
        </w:numPr>
        <w:spacing w:after="4"/>
        <w:ind w:hanging="360"/>
      </w:pPr>
      <w:r>
        <w:t xml:space="preserve">We advocate for the use of 5-seat constituencies in preference to 3- or 4seat constituencies, given the greater proportionality of representation in such a structure. </w:t>
      </w:r>
    </w:p>
    <w:p w:rsidR="00CB17B0" w:rsidRDefault="007B1B37">
      <w:pPr>
        <w:numPr>
          <w:ilvl w:val="0"/>
          <w:numId w:val="1"/>
        </w:numPr>
        <w:spacing w:after="213"/>
        <w:ind w:hanging="360"/>
      </w:pPr>
      <w:r>
        <w:rPr>
          <w:noProof/>
        </w:rPr>
        <w:lastRenderedPageBreak/>
        <w:drawing>
          <wp:anchor distT="0" distB="0" distL="114300" distR="114300" simplePos="0" relativeHeight="251658240" behindDoc="0" locked="0" layoutInCell="1" allowOverlap="0">
            <wp:simplePos x="0" y="0"/>
            <wp:positionH relativeFrom="page">
              <wp:posOffset>5582764</wp:posOffset>
            </wp:positionH>
            <wp:positionV relativeFrom="page">
              <wp:posOffset>465114</wp:posOffset>
            </wp:positionV>
            <wp:extent cx="1962912" cy="1018032"/>
            <wp:effectExtent l="0" t="0" r="0" b="0"/>
            <wp:wrapTopAndBottom/>
            <wp:docPr id="15753" name="Picture 15753"/>
            <wp:cNvGraphicFramePr/>
            <a:graphic xmlns:a="http://schemas.openxmlformats.org/drawingml/2006/main">
              <a:graphicData uri="http://schemas.openxmlformats.org/drawingml/2006/picture">
                <pic:pic xmlns:pic="http://schemas.openxmlformats.org/drawingml/2006/picture">
                  <pic:nvPicPr>
                    <pic:cNvPr id="15753" name="Picture 15753"/>
                    <pic:cNvPicPr/>
                  </pic:nvPicPr>
                  <pic:blipFill>
                    <a:blip r:embed="rId7"/>
                    <a:stretch>
                      <a:fillRect/>
                    </a:stretch>
                  </pic:blipFill>
                  <pic:spPr>
                    <a:xfrm>
                      <a:off x="0" y="0"/>
                      <a:ext cx="1962912" cy="1018032"/>
                    </a:xfrm>
                    <a:prstGeom prst="rect">
                      <a:avLst/>
                    </a:prstGeom>
                  </pic:spPr>
                </pic:pic>
              </a:graphicData>
            </a:graphic>
          </wp:anchor>
        </w:drawing>
      </w:r>
      <w:r>
        <w:t xml:space="preserve">We propose that </w:t>
      </w:r>
      <w:r>
        <w:t xml:space="preserve">there should be 20 TDs for the five counties in Connacht, split between four 5-seat constituencies. </w:t>
      </w:r>
    </w:p>
    <w:p w:rsidR="00CB17B0" w:rsidRDefault="007B1B37">
      <w:pPr>
        <w:pStyle w:val="Heading1"/>
        <w:ind w:left="-5"/>
      </w:pPr>
      <w:r>
        <w:t xml:space="preserve">Number of TDs </w:t>
      </w:r>
    </w:p>
    <w:p w:rsidR="00CB17B0" w:rsidRDefault="007B1B37">
      <w:pPr>
        <w:ind w:left="-5"/>
      </w:pPr>
      <w:r>
        <w:t xml:space="preserve">The commission has been directed to recommend a total number of TDs, between 171 and 181. The constitution (16.2.2) requires that the ratio </w:t>
      </w:r>
      <w:r>
        <w:t xml:space="preserve">of members be not less than one for every 30,000 members of the population. The 2022 census found a population of 5,123,536. </w:t>
      </w:r>
    </w:p>
    <w:p w:rsidR="00CB17B0" w:rsidRDefault="007B1B37">
      <w:pPr>
        <w:ind w:left="-5"/>
      </w:pPr>
      <w:r>
        <w:t>Note that while Article 16.2.3 requires that the preceding census be used in ensuring parity in representation ratios across const</w:t>
      </w:r>
      <w:r>
        <w:t>ituencies, this limitation does not apply to Article 16.2.2. It is open to the commission, therefore, to consider other reliable sources of information that provide additional insights into the national population. We recommend, in particular, the followin</w:t>
      </w:r>
      <w:r>
        <w:t xml:space="preserve">g: </w:t>
      </w:r>
    </w:p>
    <w:p w:rsidR="00CB17B0" w:rsidRDefault="007B1B37">
      <w:pPr>
        <w:numPr>
          <w:ilvl w:val="0"/>
          <w:numId w:val="2"/>
        </w:numPr>
        <w:ind w:hanging="360"/>
      </w:pPr>
      <w:r>
        <w:lastRenderedPageBreak/>
        <w:t>The CSO statistical release, Arrivals from Ukraine in Ireland Series 9, which is the most recent release providing an estimate of the number of Ukrainians to arrive in Ireland since February 2022. By the first anniversary of the outbreak of war, 74,458 PPS</w:t>
      </w:r>
      <w:r>
        <w:t xml:space="preserve">N had been allocated to those arriving from Ukraine, with 18,000 of those individuals arriving by the 2022 census date. Thus, over 56,000 individuals have arrived since census day. Using </w:t>
      </w:r>
    </w:p>
    <w:p w:rsidR="00CB17B0" w:rsidRDefault="007B1B37">
      <w:pPr>
        <w:spacing w:after="6"/>
        <w:ind w:left="730"/>
      </w:pPr>
      <w:r>
        <w:t>data for administrative activity, the CSO estimates that as of early</w:t>
      </w:r>
      <w:r>
        <w:t xml:space="preserve"> January 83% of those individuals are still in Ireland, a total of 49,603 individuals. </w:t>
      </w:r>
    </w:p>
    <w:p w:rsidR="00CB17B0" w:rsidRDefault="007B1B37">
      <w:pPr>
        <w:numPr>
          <w:ilvl w:val="0"/>
          <w:numId w:val="2"/>
        </w:numPr>
        <w:ind w:hanging="360"/>
      </w:pPr>
      <w:r>
        <w:t>The CSO’s Population and Labour Force Projections 2017-2051 show continued growth under a range of scenarios, with the 2022 census already exceeding the straight-line e</w:t>
      </w:r>
      <w:r>
        <w:t xml:space="preserve">xtrapolations of two of the three estimates provided (including the mid-range scenario referenced in the table below). By 2023 the various CSO models estimate a population of 5.1 to 5.3 million. </w:t>
      </w:r>
    </w:p>
    <w:p w:rsidR="00CB17B0" w:rsidRDefault="007B1B37">
      <w:pPr>
        <w:spacing w:after="0"/>
        <w:ind w:left="-5"/>
      </w:pPr>
      <w:r>
        <w:lastRenderedPageBreak/>
        <w:t>The following table illustrates the seat to population ratio</w:t>
      </w:r>
      <w:r>
        <w:t xml:space="preserve">s under a range of scenarios consistent with the above data. Scenarios inconsistent with constitutional requirements are crossed out, and highlighted in red. </w:t>
      </w:r>
    </w:p>
    <w:tbl>
      <w:tblPr>
        <w:tblStyle w:val="TableGrid"/>
        <w:tblW w:w="9014" w:type="dxa"/>
        <w:tblInd w:w="5" w:type="dxa"/>
        <w:tblCellMar>
          <w:top w:w="3" w:type="dxa"/>
          <w:left w:w="110" w:type="dxa"/>
          <w:bottom w:w="6" w:type="dxa"/>
          <w:right w:w="40" w:type="dxa"/>
        </w:tblCellMar>
        <w:tblLook w:val="04A0" w:firstRow="1" w:lastRow="0" w:firstColumn="1" w:lastColumn="0" w:noHBand="0" w:noVBand="1"/>
      </w:tblPr>
      <w:tblGrid>
        <w:gridCol w:w="1805"/>
        <w:gridCol w:w="1310"/>
        <w:gridCol w:w="1277"/>
        <w:gridCol w:w="1272"/>
        <w:gridCol w:w="3350"/>
      </w:tblGrid>
      <w:tr w:rsidR="00CB17B0">
        <w:trPr>
          <w:trHeight w:val="907"/>
        </w:trPr>
        <w:tc>
          <w:tcPr>
            <w:tcW w:w="1805"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0" w:firstLine="0"/>
            </w:pPr>
            <w:r>
              <w:rPr>
                <w:b/>
              </w:rPr>
              <w:t xml:space="preserve">Population </w:t>
            </w:r>
          </w:p>
        </w:tc>
        <w:tc>
          <w:tcPr>
            <w:tcW w:w="1310"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27" w:right="29" w:firstLine="0"/>
              <w:jc w:val="center"/>
            </w:pPr>
            <w:r>
              <w:rPr>
                <w:b/>
              </w:rPr>
              <w:t xml:space="preserve">171 seats </w:t>
            </w:r>
          </w:p>
        </w:tc>
        <w:tc>
          <w:tcPr>
            <w:tcW w:w="1277"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9" w:right="13" w:firstLine="0"/>
              <w:jc w:val="center"/>
            </w:pPr>
            <w:r>
              <w:rPr>
                <w:b/>
              </w:rPr>
              <w:t xml:space="preserve">176 seats </w:t>
            </w:r>
          </w:p>
        </w:tc>
        <w:tc>
          <w:tcPr>
            <w:tcW w:w="1272"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9" w:right="9" w:firstLine="0"/>
              <w:jc w:val="center"/>
            </w:pPr>
            <w:r>
              <w:rPr>
                <w:b/>
              </w:rPr>
              <w:t xml:space="preserve">181 seats </w:t>
            </w:r>
          </w:p>
        </w:tc>
        <w:tc>
          <w:tcPr>
            <w:tcW w:w="3350"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0" w:firstLine="0"/>
            </w:pPr>
            <w:r>
              <w:rPr>
                <w:b/>
              </w:rPr>
              <w:t xml:space="preserve">Comments </w:t>
            </w:r>
          </w:p>
        </w:tc>
      </w:tr>
      <w:tr w:rsidR="00CB17B0">
        <w:trPr>
          <w:trHeight w:val="336"/>
        </w:trPr>
        <w:tc>
          <w:tcPr>
            <w:tcW w:w="180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5,123,536 </w:t>
            </w:r>
          </w:p>
        </w:tc>
        <w:tc>
          <w:tcPr>
            <w:tcW w:w="131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29962.2 </w:t>
            </w:r>
          </w:p>
        </w:tc>
        <w:tc>
          <w:tcPr>
            <w:tcW w:w="127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29111 </w:t>
            </w:r>
          </w:p>
        </w:tc>
        <w:tc>
          <w:tcPr>
            <w:tcW w:w="127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2" w:firstLine="0"/>
              <w:jc w:val="right"/>
            </w:pPr>
            <w:r>
              <w:t xml:space="preserve">28306.8 </w:t>
            </w:r>
          </w:p>
        </w:tc>
        <w:tc>
          <w:tcPr>
            <w:tcW w:w="335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2022 census </w:t>
            </w:r>
          </w:p>
        </w:tc>
      </w:tr>
      <w:tr w:rsidR="00CB17B0">
        <w:trPr>
          <w:trHeight w:val="662"/>
        </w:trPr>
        <w:tc>
          <w:tcPr>
            <w:tcW w:w="180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5,176,139 </w:t>
            </w:r>
          </w:p>
        </w:tc>
        <w:tc>
          <w:tcPr>
            <w:tcW w:w="131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rPr>
                <w:strike/>
                <w:color w:val="FF0000"/>
              </w:rPr>
              <w:t>30,252.3</w:t>
            </w:r>
            <w:r>
              <w:rPr>
                <w:color w:val="FF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11" w:firstLine="0"/>
            </w:pPr>
            <w:r>
              <w:t xml:space="preserve">29,392.8 </w:t>
            </w:r>
          </w:p>
        </w:tc>
        <w:tc>
          <w:tcPr>
            <w:tcW w:w="127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10" w:firstLine="0"/>
            </w:pPr>
            <w:r>
              <w:t xml:space="preserve">28,580.9 </w:t>
            </w:r>
          </w:p>
        </w:tc>
        <w:tc>
          <w:tcPr>
            <w:tcW w:w="335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Adding net Ukrainian arrivals </w:t>
            </w:r>
          </w:p>
        </w:tc>
      </w:tr>
      <w:tr w:rsidR="00CB17B0">
        <w:trPr>
          <w:trHeight w:val="662"/>
        </w:trPr>
        <w:tc>
          <w:tcPr>
            <w:tcW w:w="180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5,200,000 </w:t>
            </w:r>
          </w:p>
        </w:tc>
        <w:tc>
          <w:tcPr>
            <w:tcW w:w="131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rPr>
                <w:strike/>
                <w:color w:val="FF0000"/>
              </w:rPr>
              <w:t>30,409.4</w:t>
            </w:r>
            <w:r>
              <w:rPr>
                <w:color w:val="FF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11" w:firstLine="0"/>
            </w:pPr>
            <w:r>
              <w:t xml:space="preserve">29,545.5 </w:t>
            </w:r>
          </w:p>
        </w:tc>
        <w:tc>
          <w:tcPr>
            <w:tcW w:w="127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10" w:firstLine="0"/>
            </w:pPr>
            <w:r>
              <w:t xml:space="preserve">28,729.3 </w:t>
            </w:r>
          </w:p>
        </w:tc>
        <w:tc>
          <w:tcPr>
            <w:tcW w:w="335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Mid-range 2026 projection from CSO </w:t>
            </w:r>
          </w:p>
        </w:tc>
      </w:tr>
      <w:tr w:rsidR="00CB17B0">
        <w:trPr>
          <w:trHeight w:val="667"/>
        </w:trPr>
        <w:tc>
          <w:tcPr>
            <w:tcW w:w="180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5,300,000 </w:t>
            </w:r>
          </w:p>
        </w:tc>
        <w:tc>
          <w:tcPr>
            <w:tcW w:w="131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rPr>
                <w:strike/>
                <w:color w:val="FF0000"/>
              </w:rPr>
              <w:t>30,994.2</w:t>
            </w:r>
            <w:r>
              <w:rPr>
                <w:color w:val="FF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11" w:firstLine="0"/>
            </w:pPr>
            <w:r>
              <w:rPr>
                <w:strike/>
                <w:color w:val="FF0000"/>
              </w:rPr>
              <w:t>30,113.6</w:t>
            </w:r>
            <w:r>
              <w:rPr>
                <w:color w:val="FF0000"/>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10" w:firstLine="0"/>
            </w:pPr>
            <w:r>
              <w:t xml:space="preserve">29,281.8 </w:t>
            </w:r>
          </w:p>
        </w:tc>
        <w:tc>
          <w:tcPr>
            <w:tcW w:w="335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Upper-range 2026 projection from CSO </w:t>
            </w:r>
          </w:p>
        </w:tc>
      </w:tr>
    </w:tbl>
    <w:p w:rsidR="00CB17B0" w:rsidRDefault="007B1B37">
      <w:pPr>
        <w:ind w:left="-5"/>
      </w:pPr>
      <w:r>
        <w:t xml:space="preserve">As can be seen above, proceeding with the upper bound (181 seats) is the only way to have reasonable confidence that the seats per capita ratio will remain within constitutional bounds through to the next scheduled census in 2026. </w:t>
      </w:r>
    </w:p>
    <w:p w:rsidR="00CB17B0" w:rsidRDefault="007B1B37">
      <w:pPr>
        <w:spacing w:after="216" w:line="263" w:lineRule="auto"/>
        <w:ind w:left="-5"/>
      </w:pPr>
      <w:r>
        <w:rPr>
          <w:i/>
        </w:rPr>
        <w:t>We recommend that the co</w:t>
      </w:r>
      <w:r>
        <w:rPr>
          <w:i/>
        </w:rPr>
        <w:t xml:space="preserve">mmission propose that there be 181 TDs. </w:t>
      </w:r>
    </w:p>
    <w:p w:rsidR="00CB17B0" w:rsidRDefault="007B1B37">
      <w:pPr>
        <w:pStyle w:val="Heading1"/>
        <w:ind w:left="-5"/>
      </w:pPr>
      <w:r>
        <w:t xml:space="preserve">Constituency size </w:t>
      </w:r>
    </w:p>
    <w:p w:rsidR="00CB17B0" w:rsidRDefault="007B1B37">
      <w:pPr>
        <w:ind w:left="-5"/>
      </w:pPr>
      <w:r>
        <w:t xml:space="preserve">We note that the commission has been directed to propose constituencies that include 3, 4, or 5 seats each. We are strongly of the opinion that five-seat constituencies </w:t>
      </w:r>
      <w:r>
        <w:lastRenderedPageBreak/>
        <w:t>are to be preferred whereve</w:t>
      </w:r>
      <w:r>
        <w:t xml:space="preserve">r possible, noting the following points: </w:t>
      </w:r>
    </w:p>
    <w:p w:rsidR="00CB17B0" w:rsidRDefault="007B1B37">
      <w:pPr>
        <w:numPr>
          <w:ilvl w:val="0"/>
          <w:numId w:val="3"/>
        </w:numPr>
        <w:spacing w:after="3"/>
        <w:ind w:hanging="360"/>
      </w:pPr>
      <w:r>
        <w:t xml:space="preserve">In recent reviews, a mix of 3-, 4- and 5-seat constituencies have been implemented, but with the mixture changing over time, and a gradual reduction in the number of 3-seat constituencies over the past 16 years. </w:t>
      </w:r>
    </w:p>
    <w:p w:rsidR="00CB17B0" w:rsidRDefault="007B1B37">
      <w:pPr>
        <w:numPr>
          <w:ilvl w:val="0"/>
          <w:numId w:val="3"/>
        </w:numPr>
        <w:ind w:hanging="360"/>
      </w:pPr>
      <w:r>
        <w:t>I</w:t>
      </w:r>
      <w:r>
        <w:t xml:space="preserve">mprovements in transport and communication make it easier for a TD to serve a larger geographic constituency than would have been the case previously. </w:t>
      </w:r>
    </w:p>
    <w:p w:rsidR="00CB17B0" w:rsidRDefault="007B1B37">
      <w:pPr>
        <w:numPr>
          <w:ilvl w:val="0"/>
          <w:numId w:val="3"/>
        </w:numPr>
        <w:spacing w:after="0"/>
        <w:ind w:hanging="360"/>
      </w:pPr>
      <w:r>
        <w:t>The PR-STV system means that most – but not all – voters have the opportunity to have their vote transfe</w:t>
      </w:r>
      <w:r>
        <w:t>r to an ultimately successful candidate. The formula in use (Q</w:t>
      </w:r>
      <w:proofErr w:type="gramStart"/>
      <w:r>
        <w:t>=(</w:t>
      </w:r>
      <w:proofErr w:type="gramEnd"/>
      <w:r>
        <w:t>valid poll/(seats +1))+1) means that the number of voters deprived of a representative of their choice (through use of a transferrable vote) in</w:t>
      </w:r>
      <w:r>
        <w:lastRenderedPageBreak/>
        <w:t>creases as the number of seats per constituency d</w:t>
      </w:r>
      <w:r>
        <w:t>ecrease. The following table illustrates the impact of choosing smaller constituencies over larger</w:t>
      </w:r>
      <w:r>
        <w:rPr>
          <w:sz w:val="21"/>
          <w:vertAlign w:val="superscript"/>
        </w:rPr>
        <w:footnoteReference w:id="1"/>
      </w:r>
      <w:r>
        <w:t xml:space="preserve">: </w:t>
      </w:r>
    </w:p>
    <w:tbl>
      <w:tblPr>
        <w:tblStyle w:val="TableGrid"/>
        <w:tblW w:w="9062" w:type="dxa"/>
        <w:tblInd w:w="5" w:type="dxa"/>
        <w:tblCellMar>
          <w:top w:w="3" w:type="dxa"/>
          <w:left w:w="110" w:type="dxa"/>
          <w:bottom w:w="6" w:type="dxa"/>
          <w:right w:w="115" w:type="dxa"/>
        </w:tblCellMar>
        <w:tblLook w:val="04A0" w:firstRow="1" w:lastRow="0" w:firstColumn="1" w:lastColumn="0" w:noHBand="0" w:noVBand="1"/>
      </w:tblPr>
      <w:tblGrid>
        <w:gridCol w:w="4266"/>
        <w:gridCol w:w="1570"/>
        <w:gridCol w:w="1565"/>
        <w:gridCol w:w="1661"/>
      </w:tblGrid>
      <w:tr w:rsidR="00CB17B0">
        <w:trPr>
          <w:trHeight w:val="1229"/>
        </w:trPr>
        <w:tc>
          <w:tcPr>
            <w:tcW w:w="4267"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0" w:firstLine="0"/>
            </w:pPr>
            <w:r>
              <w:rPr>
                <w:b/>
              </w:rPr>
              <w:t xml:space="preserve">(Illustrative population = 1,800,000; ratio 1/30,000; 50% of population vote) </w:t>
            </w:r>
          </w:p>
        </w:tc>
        <w:tc>
          <w:tcPr>
            <w:tcW w:w="157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rPr>
                <w:b/>
              </w:rPr>
              <w:t xml:space="preserve">3-seaters </w:t>
            </w:r>
          </w:p>
        </w:tc>
        <w:tc>
          <w:tcPr>
            <w:tcW w:w="156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rPr>
                <w:b/>
              </w:rPr>
              <w:t xml:space="preserve">4-seaters </w:t>
            </w:r>
          </w:p>
        </w:tc>
        <w:tc>
          <w:tcPr>
            <w:tcW w:w="166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rPr>
                <w:b/>
              </w:rPr>
              <w:t xml:space="preserve">5-seaters </w:t>
            </w:r>
          </w:p>
        </w:tc>
      </w:tr>
      <w:tr w:rsidR="00CB17B0">
        <w:trPr>
          <w:trHeight w:val="341"/>
        </w:trPr>
        <w:tc>
          <w:tcPr>
            <w:tcW w:w="426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Population per constituency </w:t>
            </w:r>
          </w:p>
        </w:tc>
        <w:tc>
          <w:tcPr>
            <w:tcW w:w="157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90,000 </w:t>
            </w:r>
          </w:p>
        </w:tc>
        <w:tc>
          <w:tcPr>
            <w:tcW w:w="156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120,000 </w:t>
            </w:r>
          </w:p>
        </w:tc>
        <w:tc>
          <w:tcPr>
            <w:tcW w:w="166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150,000 </w:t>
            </w:r>
          </w:p>
        </w:tc>
      </w:tr>
      <w:tr w:rsidR="00CB17B0">
        <w:trPr>
          <w:trHeight w:val="336"/>
        </w:trPr>
        <w:tc>
          <w:tcPr>
            <w:tcW w:w="426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Number of constituencies </w:t>
            </w:r>
          </w:p>
        </w:tc>
        <w:tc>
          <w:tcPr>
            <w:tcW w:w="157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20 </w:t>
            </w:r>
          </w:p>
        </w:tc>
        <w:tc>
          <w:tcPr>
            <w:tcW w:w="156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15 </w:t>
            </w:r>
          </w:p>
        </w:tc>
        <w:tc>
          <w:tcPr>
            <w:tcW w:w="166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12 </w:t>
            </w:r>
          </w:p>
        </w:tc>
      </w:tr>
      <w:tr w:rsidR="00CB17B0">
        <w:trPr>
          <w:trHeight w:val="336"/>
        </w:trPr>
        <w:tc>
          <w:tcPr>
            <w:tcW w:w="426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Quota </w:t>
            </w:r>
          </w:p>
        </w:tc>
        <w:tc>
          <w:tcPr>
            <w:tcW w:w="157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11,251 </w:t>
            </w:r>
          </w:p>
        </w:tc>
        <w:tc>
          <w:tcPr>
            <w:tcW w:w="156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12,001 </w:t>
            </w:r>
          </w:p>
        </w:tc>
        <w:tc>
          <w:tcPr>
            <w:tcW w:w="166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12,501 </w:t>
            </w:r>
          </w:p>
        </w:tc>
      </w:tr>
      <w:tr w:rsidR="00CB17B0">
        <w:trPr>
          <w:trHeight w:val="662"/>
        </w:trPr>
        <w:tc>
          <w:tcPr>
            <w:tcW w:w="426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 voters without representative of choice </w:t>
            </w:r>
          </w:p>
        </w:tc>
        <w:tc>
          <w:tcPr>
            <w:tcW w:w="157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25% </w:t>
            </w:r>
          </w:p>
        </w:tc>
        <w:tc>
          <w:tcPr>
            <w:tcW w:w="156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20% </w:t>
            </w:r>
          </w:p>
        </w:tc>
        <w:tc>
          <w:tcPr>
            <w:tcW w:w="166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16.7% </w:t>
            </w:r>
          </w:p>
        </w:tc>
      </w:tr>
      <w:tr w:rsidR="00CB17B0">
        <w:trPr>
          <w:trHeight w:val="667"/>
        </w:trPr>
        <w:tc>
          <w:tcPr>
            <w:tcW w:w="426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Number of voters without representative of choice </w:t>
            </w:r>
          </w:p>
        </w:tc>
        <w:tc>
          <w:tcPr>
            <w:tcW w:w="157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225,000 </w:t>
            </w:r>
          </w:p>
        </w:tc>
        <w:tc>
          <w:tcPr>
            <w:tcW w:w="156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180,000 </w:t>
            </w:r>
          </w:p>
        </w:tc>
        <w:tc>
          <w:tcPr>
            <w:tcW w:w="166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150,000 </w:t>
            </w:r>
          </w:p>
        </w:tc>
      </w:tr>
    </w:tbl>
    <w:p w:rsidR="00CB17B0" w:rsidRDefault="007B1B37">
      <w:pPr>
        <w:ind w:left="-5"/>
      </w:pPr>
      <w:r>
        <w:t>As can be seen above, constituencies with higher number of seats available enhance the proportional representation nature of our system. Larger constituencies mean significantly fewer voters find themselves having their vote (after transfers take place) fa</w:t>
      </w:r>
      <w:r>
        <w:t>il to elect a candidate of their choice (over a less favoured candidate). This benefits so</w:t>
      </w:r>
      <w:r>
        <w:lastRenderedPageBreak/>
        <w:t xml:space="preserve">cial investment in our democratic system, as well as enhancing the proportionally representative nature of our parliamentary system. </w:t>
      </w:r>
    </w:p>
    <w:p w:rsidR="00CB17B0" w:rsidRDefault="007B1B37">
      <w:pPr>
        <w:spacing w:after="216" w:line="263" w:lineRule="auto"/>
        <w:ind w:left="-5"/>
      </w:pPr>
      <w:r>
        <w:rPr>
          <w:i/>
        </w:rPr>
        <w:t xml:space="preserve">Given these issues, and the technological developments alluded to above, we strongly advocate for the implementation of a model that maximises the use of 5-seat constituencies. </w:t>
      </w:r>
    </w:p>
    <w:p w:rsidR="00CB17B0" w:rsidRDefault="007B1B37">
      <w:pPr>
        <w:pStyle w:val="Heading1"/>
        <w:ind w:left="-5"/>
      </w:pPr>
      <w:r>
        <w:t xml:space="preserve">Constituency structure </w:t>
      </w:r>
    </w:p>
    <w:p w:rsidR="00CB17B0" w:rsidRDefault="007B1B37">
      <w:pPr>
        <w:ind w:left="-5"/>
      </w:pPr>
      <w:r>
        <w:t>We have restricted ourselves, in this proposal, to con</w:t>
      </w:r>
      <w:r>
        <w:t xml:space="preserve">sidering the Connacht region. While our primary interest is in the area currently covered by </w:t>
      </w:r>
      <w:proofErr w:type="spellStart"/>
      <w:r>
        <w:t>GalwayWest</w:t>
      </w:r>
      <w:proofErr w:type="spellEnd"/>
      <w:r>
        <w:t>, it is difficult to deal with any single constituency in isolation, as decisions made in one area have knock-on implications for neighbouring constituen</w:t>
      </w:r>
      <w:r>
        <w:t xml:space="preserve">cies. </w:t>
      </w:r>
    </w:p>
    <w:p w:rsidR="00CB17B0" w:rsidRDefault="007B1B37">
      <w:pPr>
        <w:spacing w:after="672" w:line="259" w:lineRule="auto"/>
        <w:ind w:left="0" w:firstLine="0"/>
      </w:pPr>
      <w:r>
        <w:t xml:space="preserve"> </w:t>
      </w:r>
      <w:r>
        <w:tab/>
        <w:t xml:space="preserve"> </w:t>
      </w:r>
    </w:p>
    <w:p w:rsidR="00CB17B0" w:rsidRDefault="007B1B37">
      <w:pPr>
        <w:spacing w:after="0" w:line="259" w:lineRule="auto"/>
        <w:ind w:left="0" w:firstLine="0"/>
      </w:pPr>
      <w:r>
        <w:rPr>
          <w:noProof/>
          <w:sz w:val="22"/>
        </w:rPr>
        <mc:AlternateContent>
          <mc:Choice Requires="wpg">
            <w:drawing>
              <wp:inline distT="0" distB="0" distL="0" distR="0">
                <wp:extent cx="1828800" cy="6096"/>
                <wp:effectExtent l="0" t="0" r="0" b="0"/>
                <wp:docPr id="14979" name="Group 14979"/>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16379" name="Shape 1637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79" style="width:144pt;height:0.47998pt;mso-position-horizontal-relative:char;mso-position-vertical-relative:line" coordsize="18288,60">
                <v:shape id="Shape 1638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rsidR="00CB17B0" w:rsidRDefault="007B1B37">
      <w:pPr>
        <w:spacing w:after="0"/>
        <w:ind w:left="-5"/>
      </w:pPr>
      <w:r>
        <w:lastRenderedPageBreak/>
        <w:t>The 2022 census offers the following figures for county populations in Connacht:</w:t>
      </w:r>
      <w:r>
        <w:rPr>
          <w:sz w:val="21"/>
          <w:vertAlign w:val="superscript"/>
        </w:rPr>
        <w:footnoteReference w:id="2"/>
      </w:r>
      <w:r>
        <w:t xml:space="preserve"> </w:t>
      </w:r>
    </w:p>
    <w:tbl>
      <w:tblPr>
        <w:tblStyle w:val="TableGrid"/>
        <w:tblW w:w="9014" w:type="dxa"/>
        <w:tblInd w:w="5" w:type="dxa"/>
        <w:tblCellMar>
          <w:top w:w="3" w:type="dxa"/>
          <w:left w:w="110" w:type="dxa"/>
          <w:bottom w:w="6" w:type="dxa"/>
          <w:right w:w="42" w:type="dxa"/>
        </w:tblCellMar>
        <w:tblLook w:val="04A0" w:firstRow="1" w:lastRow="0" w:firstColumn="1" w:lastColumn="0" w:noHBand="0" w:noVBand="1"/>
      </w:tblPr>
      <w:tblGrid>
        <w:gridCol w:w="2227"/>
        <w:gridCol w:w="2112"/>
        <w:gridCol w:w="1771"/>
        <w:gridCol w:w="1579"/>
        <w:gridCol w:w="1325"/>
      </w:tblGrid>
      <w:tr w:rsidR="00CB17B0">
        <w:trPr>
          <w:trHeight w:val="902"/>
        </w:trPr>
        <w:tc>
          <w:tcPr>
            <w:tcW w:w="2227"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0" w:firstLine="0"/>
            </w:pPr>
            <w:r>
              <w:rPr>
                <w:b/>
              </w:rPr>
              <w:t xml:space="preserve">County </w:t>
            </w:r>
          </w:p>
        </w:tc>
        <w:tc>
          <w:tcPr>
            <w:tcW w:w="2112"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0" w:right="72" w:firstLine="0"/>
              <w:jc w:val="center"/>
            </w:pPr>
            <w:r>
              <w:rPr>
                <w:b/>
              </w:rPr>
              <w:t xml:space="preserve">Population </w:t>
            </w:r>
          </w:p>
        </w:tc>
        <w:tc>
          <w:tcPr>
            <w:tcW w:w="1771"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0" w:firstLine="0"/>
              <w:jc w:val="center"/>
            </w:pPr>
            <w:r>
              <w:rPr>
                <w:b/>
              </w:rPr>
              <w:t xml:space="preserve">Number of seats (a) </w:t>
            </w:r>
          </w:p>
        </w:tc>
        <w:tc>
          <w:tcPr>
            <w:tcW w:w="1579"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0" w:firstLine="0"/>
              <w:jc w:val="center"/>
            </w:pPr>
            <w:r>
              <w:rPr>
                <w:b/>
              </w:rPr>
              <w:t xml:space="preserve">Number of seats (b) </w:t>
            </w:r>
          </w:p>
        </w:tc>
        <w:tc>
          <w:tcPr>
            <w:tcW w:w="1325"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0" w:firstLine="0"/>
              <w:jc w:val="center"/>
            </w:pPr>
            <w:r>
              <w:rPr>
                <w:b/>
              </w:rPr>
              <w:t xml:space="preserve">% of region </w:t>
            </w:r>
          </w:p>
        </w:tc>
      </w:tr>
      <w:tr w:rsidR="00CB17B0">
        <w:trPr>
          <w:trHeight w:val="336"/>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Galway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276,451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9.23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9.77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2" w:firstLine="0"/>
              <w:jc w:val="right"/>
            </w:pPr>
            <w:r>
              <w:t xml:space="preserve">47% </w:t>
            </w:r>
          </w:p>
        </w:tc>
      </w:tr>
      <w:tr w:rsidR="00CB17B0">
        <w:trPr>
          <w:trHeight w:val="336"/>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Leitrim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35,087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1.17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1.24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2" w:firstLine="0"/>
              <w:jc w:val="right"/>
            </w:pPr>
            <w:r>
              <w:t xml:space="preserve">6% </w:t>
            </w:r>
          </w:p>
        </w:tc>
      </w:tr>
      <w:tr w:rsidR="00CB17B0">
        <w:trPr>
          <w:trHeight w:val="336"/>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Mayo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137,231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4.58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4.85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2" w:firstLine="0"/>
              <w:jc w:val="right"/>
            </w:pPr>
            <w:r>
              <w:t xml:space="preserve">23% </w:t>
            </w:r>
          </w:p>
        </w:tc>
      </w:tr>
      <w:tr w:rsidR="00CB17B0">
        <w:trPr>
          <w:trHeight w:val="336"/>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Roscommon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69,995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2.34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2.47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2" w:firstLine="0"/>
              <w:jc w:val="right"/>
            </w:pPr>
            <w:r>
              <w:t xml:space="preserve">12% </w:t>
            </w:r>
          </w:p>
        </w:tc>
      </w:tr>
      <w:tr w:rsidR="00CB17B0">
        <w:trPr>
          <w:trHeight w:val="341"/>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Sligo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69,819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2.33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2.47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2" w:firstLine="0"/>
              <w:jc w:val="right"/>
            </w:pPr>
            <w:r>
              <w:t xml:space="preserve">12% </w:t>
            </w:r>
          </w:p>
        </w:tc>
      </w:tr>
      <w:tr w:rsidR="00CB17B0">
        <w:trPr>
          <w:trHeight w:val="336"/>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Region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588,583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19.64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20.79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r w:rsidR="00CB17B0">
        <w:trPr>
          <w:trHeight w:val="336"/>
        </w:trPr>
        <w:tc>
          <w:tcPr>
            <w:tcW w:w="222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National </w:t>
            </w:r>
          </w:p>
        </w:tc>
        <w:tc>
          <w:tcPr>
            <w:tcW w:w="211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7" w:firstLine="0"/>
              <w:jc w:val="right"/>
            </w:pPr>
            <w:r>
              <w:t xml:space="preserve">5,123,536 </w:t>
            </w:r>
          </w:p>
        </w:tc>
        <w:tc>
          <w:tcPr>
            <w:tcW w:w="177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171 </w:t>
            </w:r>
          </w:p>
        </w:tc>
        <w:tc>
          <w:tcPr>
            <w:tcW w:w="157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6" w:firstLine="0"/>
              <w:jc w:val="right"/>
            </w:pPr>
            <w:r>
              <w:t xml:space="preserve">181 </w:t>
            </w:r>
          </w:p>
        </w:tc>
        <w:tc>
          <w:tcPr>
            <w:tcW w:w="1325"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bl>
    <w:p w:rsidR="00CB17B0" w:rsidRDefault="007B1B37">
      <w:pPr>
        <w:ind w:left="-5"/>
      </w:pPr>
      <w:r>
        <w:t>Two scenarios are laid out above, at the two extremes of the range of total seats permitted. As can be seen, the region will have an allocation of 19-21 seats, depending on the total number of seats to be filled. The following analysis takes the central fi</w:t>
      </w:r>
      <w:r>
        <w:t xml:space="preserve">gure of 20 seats. Two counties have sufficient population to support stand-alone constituencies: Galway and Mayo. Three counties (Roscommon, Sligo, and Leitrim) do not have sufficient population to support a stand-alone constituency, and will need to be </w:t>
      </w:r>
      <w:r>
        <w:lastRenderedPageBreak/>
        <w:t>me</w:t>
      </w:r>
      <w:r>
        <w:t>rged with other areas to reach an adequate population. The terms of reference require that “the breaching of county boundaries shall be avoided as far as practicable” so we recommend that both Mayo (one 5-seat constituency) and Galway (two 5-seat constitue</w:t>
      </w:r>
      <w:r>
        <w:t>ncies) be used as the basis for a number of constituencies, with the addition of additional EDs from elsewhere, where required, to provide for equality across constituencies. The other three counties, stretching along the eastern side of Connacht, will con</w:t>
      </w:r>
      <w:r>
        <w:t xml:space="preserve">stitute a single 5-seat constituency, after the transfer of appropriate EDs to provide for equality of representation. </w:t>
      </w:r>
    </w:p>
    <w:p w:rsidR="00CB17B0" w:rsidRDefault="007B1B37">
      <w:pPr>
        <w:spacing w:after="0" w:line="263" w:lineRule="auto"/>
        <w:ind w:left="-5"/>
      </w:pPr>
      <w:r>
        <w:rPr>
          <w:i/>
        </w:rPr>
        <w:t xml:space="preserve">We recommend the creation of four 5-seat constituencies, as follows: </w:t>
      </w:r>
    </w:p>
    <w:tbl>
      <w:tblPr>
        <w:tblStyle w:val="TableGrid"/>
        <w:tblW w:w="9014" w:type="dxa"/>
        <w:tblInd w:w="5" w:type="dxa"/>
        <w:tblCellMar>
          <w:top w:w="3" w:type="dxa"/>
          <w:left w:w="106" w:type="dxa"/>
          <w:bottom w:w="6" w:type="dxa"/>
          <w:right w:w="97" w:type="dxa"/>
        </w:tblCellMar>
        <w:tblLook w:val="04A0" w:firstRow="1" w:lastRow="0" w:firstColumn="1" w:lastColumn="0" w:noHBand="0" w:noVBand="1"/>
      </w:tblPr>
      <w:tblGrid>
        <w:gridCol w:w="1982"/>
        <w:gridCol w:w="7032"/>
      </w:tblGrid>
      <w:tr w:rsidR="00CB17B0">
        <w:trPr>
          <w:trHeight w:val="576"/>
        </w:trPr>
        <w:tc>
          <w:tcPr>
            <w:tcW w:w="1982"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5" w:firstLine="0"/>
            </w:pPr>
            <w:r>
              <w:rPr>
                <w:b/>
              </w:rPr>
              <w:t xml:space="preserve">Name </w:t>
            </w:r>
          </w:p>
        </w:tc>
        <w:tc>
          <w:tcPr>
            <w:tcW w:w="7032"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0" w:firstLine="0"/>
            </w:pPr>
            <w:r>
              <w:rPr>
                <w:b/>
              </w:rPr>
              <w:t xml:space="preserve">Summary of area </w:t>
            </w:r>
          </w:p>
        </w:tc>
      </w:tr>
      <w:tr w:rsidR="00CB17B0">
        <w:trPr>
          <w:trHeight w:val="1315"/>
        </w:trPr>
        <w:tc>
          <w:tcPr>
            <w:tcW w:w="198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Galway-West </w:t>
            </w:r>
          </w:p>
        </w:tc>
        <w:tc>
          <w:tcPr>
            <w:tcW w:w="7032"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firstLine="0"/>
            </w:pPr>
            <w:r>
              <w:t>The LEAs of Connemara North a</w:t>
            </w:r>
            <w:r>
              <w:t xml:space="preserve">nd South </w:t>
            </w:r>
          </w:p>
          <w:p w:rsidR="00CB17B0" w:rsidRDefault="007B1B37">
            <w:pPr>
              <w:spacing w:after="10" w:line="259" w:lineRule="auto"/>
              <w:ind w:left="0" w:firstLine="0"/>
            </w:pPr>
            <w:r>
              <w:t xml:space="preserve">The LEAs within Galway City </w:t>
            </w:r>
          </w:p>
          <w:p w:rsidR="00CB17B0" w:rsidRDefault="007B1B37">
            <w:pPr>
              <w:spacing w:after="0" w:line="259" w:lineRule="auto"/>
              <w:ind w:left="0" w:firstLine="0"/>
            </w:pPr>
            <w:r>
              <w:t xml:space="preserve">Parts of the LEAs of </w:t>
            </w:r>
            <w:proofErr w:type="spellStart"/>
            <w:r>
              <w:t>Athenry-Oranmore</w:t>
            </w:r>
            <w:proofErr w:type="spellEnd"/>
            <w:r>
              <w:t xml:space="preserve"> and </w:t>
            </w:r>
            <w:proofErr w:type="spellStart"/>
            <w:r>
              <w:t>Gort-Kinvara</w:t>
            </w:r>
            <w:proofErr w:type="spellEnd"/>
            <w:r>
              <w:t xml:space="preserve"> contiguous with the city </w:t>
            </w:r>
          </w:p>
        </w:tc>
      </w:tr>
      <w:tr w:rsidR="00CB17B0">
        <w:trPr>
          <w:trHeight w:val="994"/>
        </w:trPr>
        <w:tc>
          <w:tcPr>
            <w:tcW w:w="198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Galway-East </w:t>
            </w:r>
          </w:p>
        </w:tc>
        <w:tc>
          <w:tcPr>
            <w:tcW w:w="7032"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firstLine="0"/>
            </w:pPr>
            <w:r>
              <w:t xml:space="preserve">The LEAs of Ballinasloe, </w:t>
            </w:r>
            <w:proofErr w:type="spellStart"/>
            <w:r>
              <w:t>Loughrea</w:t>
            </w:r>
            <w:proofErr w:type="spellEnd"/>
            <w:r>
              <w:t xml:space="preserve"> and </w:t>
            </w:r>
            <w:proofErr w:type="spellStart"/>
            <w:r>
              <w:t>Tuam</w:t>
            </w:r>
            <w:proofErr w:type="spellEnd"/>
            <w:r>
              <w:t xml:space="preserve"> </w:t>
            </w:r>
          </w:p>
          <w:p w:rsidR="00CB17B0" w:rsidRDefault="007B1B37">
            <w:pPr>
              <w:spacing w:after="0" w:line="259" w:lineRule="auto"/>
              <w:ind w:left="0" w:firstLine="0"/>
            </w:pPr>
            <w:r>
              <w:t xml:space="preserve">Parts of the LEAs of </w:t>
            </w:r>
            <w:proofErr w:type="spellStart"/>
            <w:r>
              <w:t>Athenry-Oranmore</w:t>
            </w:r>
            <w:proofErr w:type="spellEnd"/>
            <w:r>
              <w:t xml:space="preserve"> and </w:t>
            </w:r>
            <w:proofErr w:type="spellStart"/>
            <w:r>
              <w:t>Gort-Kinvara</w:t>
            </w:r>
            <w:proofErr w:type="spellEnd"/>
            <w:r>
              <w:t xml:space="preserve"> not included in Galway-</w:t>
            </w:r>
            <w:r>
              <w:t xml:space="preserve">West </w:t>
            </w:r>
          </w:p>
        </w:tc>
      </w:tr>
    </w:tbl>
    <w:p w:rsidR="00CB17B0" w:rsidRDefault="007B1B37">
      <w:pPr>
        <w:spacing w:after="0" w:line="259" w:lineRule="auto"/>
        <w:ind w:left="0" w:firstLine="0"/>
      </w:pPr>
      <w:r>
        <w:rPr>
          <w:noProof/>
          <w:sz w:val="22"/>
        </w:rPr>
        <mc:AlternateContent>
          <mc:Choice Requires="wpg">
            <w:drawing>
              <wp:inline distT="0" distB="0" distL="0" distR="0">
                <wp:extent cx="1828800" cy="6097"/>
                <wp:effectExtent l="0" t="0" r="0" b="0"/>
                <wp:docPr id="15665" name="Group 15665"/>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16381" name="Shape 1638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665" style="width:144pt;height:0.480042pt;mso-position-horizontal-relative:char;mso-position-vertical-relative:line" coordsize="18288,60">
                <v:shape id="Shape 1638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tbl>
      <w:tblPr>
        <w:tblStyle w:val="TableGrid"/>
        <w:tblW w:w="9014" w:type="dxa"/>
        <w:tblInd w:w="5" w:type="dxa"/>
        <w:tblCellMar>
          <w:top w:w="3" w:type="dxa"/>
          <w:left w:w="106" w:type="dxa"/>
          <w:bottom w:w="0" w:type="dxa"/>
          <w:right w:w="115" w:type="dxa"/>
        </w:tblCellMar>
        <w:tblLook w:val="04A0" w:firstRow="1" w:lastRow="0" w:firstColumn="1" w:lastColumn="0" w:noHBand="0" w:noVBand="1"/>
      </w:tblPr>
      <w:tblGrid>
        <w:gridCol w:w="1982"/>
        <w:gridCol w:w="7032"/>
      </w:tblGrid>
      <w:tr w:rsidR="00CB17B0">
        <w:trPr>
          <w:trHeight w:val="341"/>
        </w:trPr>
        <w:tc>
          <w:tcPr>
            <w:tcW w:w="1982" w:type="dxa"/>
            <w:tcBorders>
              <w:top w:val="single" w:sz="4" w:space="0" w:color="000000"/>
              <w:left w:val="single" w:sz="4" w:space="0" w:color="000000"/>
              <w:bottom w:val="single" w:sz="4" w:space="0" w:color="000000"/>
              <w:right w:val="single" w:sz="4" w:space="0" w:color="000000"/>
            </w:tcBorders>
          </w:tcPr>
          <w:p w:rsidR="00CB17B0" w:rsidRDefault="00CB17B0">
            <w:pPr>
              <w:spacing w:after="160" w:line="259" w:lineRule="auto"/>
              <w:ind w:left="0" w:firstLine="0"/>
            </w:pPr>
          </w:p>
        </w:tc>
        <w:tc>
          <w:tcPr>
            <w:tcW w:w="703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Parts of Co. Roscommon </w:t>
            </w:r>
          </w:p>
        </w:tc>
      </w:tr>
      <w:tr w:rsidR="00CB17B0">
        <w:trPr>
          <w:trHeight w:val="662"/>
        </w:trPr>
        <w:tc>
          <w:tcPr>
            <w:tcW w:w="198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Mayo </w:t>
            </w:r>
          </w:p>
        </w:tc>
        <w:tc>
          <w:tcPr>
            <w:tcW w:w="7032"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firstLine="0"/>
            </w:pPr>
            <w:r>
              <w:t xml:space="preserve">Mayo </w:t>
            </w:r>
          </w:p>
          <w:p w:rsidR="00CB17B0" w:rsidRDefault="007B1B37">
            <w:pPr>
              <w:spacing w:after="0" w:line="259" w:lineRule="auto"/>
              <w:ind w:left="0" w:firstLine="0"/>
            </w:pPr>
            <w:r>
              <w:t xml:space="preserve">Parts of Co. Roscommon </w:t>
            </w:r>
          </w:p>
        </w:tc>
      </w:tr>
      <w:tr w:rsidR="00CB17B0">
        <w:trPr>
          <w:trHeight w:val="989"/>
        </w:trPr>
        <w:tc>
          <w:tcPr>
            <w:tcW w:w="198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lastRenderedPageBreak/>
              <w:t xml:space="preserve">Connacht-East </w:t>
            </w:r>
          </w:p>
        </w:tc>
        <w:tc>
          <w:tcPr>
            <w:tcW w:w="7032"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firstLine="0"/>
            </w:pPr>
            <w:r>
              <w:t xml:space="preserve">Sligo </w:t>
            </w:r>
          </w:p>
          <w:p w:rsidR="00CB17B0" w:rsidRDefault="007B1B37">
            <w:pPr>
              <w:spacing w:after="10" w:line="259" w:lineRule="auto"/>
              <w:ind w:left="0" w:firstLine="0"/>
            </w:pPr>
            <w:r>
              <w:t xml:space="preserve">Leitrim </w:t>
            </w:r>
          </w:p>
          <w:p w:rsidR="00CB17B0" w:rsidRDefault="007B1B37">
            <w:pPr>
              <w:spacing w:after="0" w:line="259" w:lineRule="auto"/>
              <w:ind w:left="0" w:firstLine="0"/>
            </w:pPr>
            <w:r>
              <w:t xml:space="preserve">Parts of Co. Roscommon </w:t>
            </w:r>
          </w:p>
        </w:tc>
      </w:tr>
    </w:tbl>
    <w:p w:rsidR="00CB17B0" w:rsidRDefault="007B1B37">
      <w:pPr>
        <w:ind w:left="-5"/>
      </w:pPr>
      <w:r>
        <w:t xml:space="preserve">The proposed constituencies listed above have, therefore, the following advantages: </w:t>
      </w:r>
    </w:p>
    <w:p w:rsidR="00CB17B0" w:rsidRDefault="007B1B37">
      <w:pPr>
        <w:numPr>
          <w:ilvl w:val="0"/>
          <w:numId w:val="4"/>
        </w:numPr>
        <w:spacing w:after="4"/>
        <w:ind w:hanging="360"/>
      </w:pPr>
      <w:r>
        <w:t>The use of 5-</w:t>
      </w:r>
      <w:r>
        <w:t xml:space="preserve">seat constituencies will maximise the proportional nature of the representation within the constituency, and minimise the number of voters whose votes do not ultimately transfer to a successful candidate. </w:t>
      </w:r>
    </w:p>
    <w:p w:rsidR="00CB17B0" w:rsidRDefault="007B1B37">
      <w:pPr>
        <w:numPr>
          <w:ilvl w:val="0"/>
          <w:numId w:val="4"/>
        </w:numPr>
        <w:spacing w:after="3"/>
        <w:ind w:hanging="360"/>
      </w:pPr>
      <w:r>
        <w:t>The integrity of four of five county boundaries ar</w:t>
      </w:r>
      <w:r>
        <w:t xml:space="preserve">e maintained. Sections of south and west Roscommon are included in the Galway-West and Mayo constituencies to reach the required parity in population. </w:t>
      </w:r>
    </w:p>
    <w:p w:rsidR="00CB17B0" w:rsidRDefault="007B1B37">
      <w:pPr>
        <w:numPr>
          <w:ilvl w:val="0"/>
          <w:numId w:val="4"/>
        </w:numPr>
        <w:spacing w:after="3"/>
        <w:ind w:hanging="360"/>
      </w:pPr>
      <w:r>
        <w:t>The proposed boundaries for the Galway-West constituency take account of the proposed expansion of the c</w:t>
      </w:r>
      <w:r>
        <w:t xml:space="preserve">ity boundary, currently under consideration, itself a reflection of changing population densities and socio-economic patterns in the area around the current administrative city boundary. </w:t>
      </w:r>
    </w:p>
    <w:p w:rsidR="00CB17B0" w:rsidRDefault="007B1B37">
      <w:pPr>
        <w:numPr>
          <w:ilvl w:val="0"/>
          <w:numId w:val="4"/>
        </w:numPr>
        <w:ind w:hanging="360"/>
      </w:pPr>
      <w:r>
        <w:t xml:space="preserve">The variation from the national ratio is minimised. The table lists </w:t>
      </w:r>
      <w:r>
        <w:t xml:space="preserve">the range of variation depending on </w:t>
      </w:r>
      <w:r>
        <w:lastRenderedPageBreak/>
        <w:t xml:space="preserve">the total number of seats nationally. All variation is kept within 5% - noting, of course, the </w:t>
      </w:r>
      <w:proofErr w:type="spellStart"/>
      <w:r>
        <w:t>limitated</w:t>
      </w:r>
      <w:proofErr w:type="spellEnd"/>
      <w:r>
        <w:t xml:space="preserve"> utility of this metric. </w:t>
      </w:r>
    </w:p>
    <w:p w:rsidR="00CB17B0" w:rsidRDefault="007B1B37">
      <w:pPr>
        <w:ind w:left="-5"/>
      </w:pPr>
      <w:r>
        <w:t>The detailed proposals for constituency boundaries are as laid out on the following pages.</w:t>
      </w:r>
      <w:r>
        <w:t xml:space="preserve"> </w:t>
      </w:r>
    </w:p>
    <w:p w:rsidR="00CB17B0" w:rsidRDefault="00CB17B0">
      <w:pPr>
        <w:sectPr w:rsidR="00CB17B0">
          <w:footerReference w:type="even" r:id="rId8"/>
          <w:footerReference w:type="default" r:id="rId9"/>
          <w:footerReference w:type="first" r:id="rId10"/>
          <w:pgSz w:w="11906" w:h="16838"/>
          <w:pgMar w:top="1419" w:right="1409" w:bottom="1409" w:left="1426" w:header="720" w:footer="720" w:gutter="0"/>
          <w:cols w:space="720"/>
          <w:titlePg/>
        </w:sectPr>
      </w:pPr>
    </w:p>
    <w:tbl>
      <w:tblPr>
        <w:tblStyle w:val="TableGrid"/>
        <w:tblW w:w="10195" w:type="dxa"/>
        <w:tblInd w:w="5" w:type="dxa"/>
        <w:tblCellMar>
          <w:top w:w="3" w:type="dxa"/>
          <w:left w:w="106" w:type="dxa"/>
          <w:bottom w:w="6" w:type="dxa"/>
          <w:right w:w="43" w:type="dxa"/>
        </w:tblCellMar>
        <w:tblLook w:val="04A0" w:firstRow="1" w:lastRow="0" w:firstColumn="1" w:lastColumn="0" w:noHBand="0" w:noVBand="1"/>
      </w:tblPr>
      <w:tblGrid>
        <w:gridCol w:w="2017"/>
        <w:gridCol w:w="3950"/>
        <w:gridCol w:w="1243"/>
        <w:gridCol w:w="1238"/>
        <w:gridCol w:w="1747"/>
      </w:tblGrid>
      <w:tr w:rsidR="00CB17B0">
        <w:trPr>
          <w:trHeight w:val="907"/>
        </w:trPr>
        <w:tc>
          <w:tcPr>
            <w:tcW w:w="2016"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5" w:firstLine="0"/>
            </w:pPr>
            <w:r>
              <w:rPr>
                <w:b/>
              </w:rPr>
              <w:lastRenderedPageBreak/>
              <w:t xml:space="preserve">Constituency </w:t>
            </w:r>
          </w:p>
        </w:tc>
        <w:tc>
          <w:tcPr>
            <w:tcW w:w="3950"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5" w:firstLine="0"/>
            </w:pPr>
            <w:r>
              <w:rPr>
                <w:b/>
              </w:rPr>
              <w:t xml:space="preserve">Area </w:t>
            </w:r>
          </w:p>
        </w:tc>
        <w:tc>
          <w:tcPr>
            <w:tcW w:w="1243"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5" w:firstLine="0"/>
            </w:pPr>
            <w:r>
              <w:rPr>
                <w:b/>
              </w:rPr>
              <w:t xml:space="preserve">Pop. </w:t>
            </w:r>
          </w:p>
        </w:tc>
        <w:tc>
          <w:tcPr>
            <w:tcW w:w="1238" w:type="dxa"/>
            <w:tcBorders>
              <w:top w:val="single" w:sz="4" w:space="0" w:color="000000"/>
              <w:left w:val="single" w:sz="4" w:space="0" w:color="000000"/>
              <w:bottom w:val="single" w:sz="4" w:space="0" w:color="000000"/>
              <w:right w:val="single" w:sz="4" w:space="0" w:color="000000"/>
            </w:tcBorders>
            <w:vAlign w:val="center"/>
          </w:tcPr>
          <w:p w:rsidR="00CB17B0" w:rsidRDefault="007B1B37">
            <w:pPr>
              <w:spacing w:after="0" w:line="259" w:lineRule="auto"/>
              <w:ind w:left="0" w:firstLine="0"/>
            </w:pPr>
            <w:r>
              <w:rPr>
                <w:b/>
              </w:rPr>
              <w:t xml:space="preserve">Total </w:t>
            </w:r>
          </w:p>
        </w:tc>
        <w:tc>
          <w:tcPr>
            <w:tcW w:w="1747" w:type="dxa"/>
            <w:tcBorders>
              <w:top w:val="single" w:sz="4" w:space="0" w:color="000000"/>
              <w:left w:val="single" w:sz="4" w:space="0" w:color="000000"/>
              <w:bottom w:val="single" w:sz="4" w:space="0" w:color="000000"/>
              <w:right w:val="single" w:sz="4" w:space="0" w:color="000000"/>
            </w:tcBorders>
            <w:vAlign w:val="bottom"/>
          </w:tcPr>
          <w:p w:rsidR="00CB17B0" w:rsidRDefault="007B1B37">
            <w:pPr>
              <w:spacing w:after="0" w:line="259" w:lineRule="auto"/>
              <w:ind w:left="5" w:firstLine="0"/>
            </w:pPr>
            <w:r>
              <w:rPr>
                <w:b/>
              </w:rPr>
              <w:t xml:space="preserve">Ratio </w:t>
            </w:r>
          </w:p>
          <w:p w:rsidR="00CB17B0" w:rsidRDefault="007B1B37">
            <w:pPr>
              <w:spacing w:after="0" w:line="259" w:lineRule="auto"/>
              <w:ind w:left="5" w:firstLine="0"/>
            </w:pPr>
            <w:r>
              <w:rPr>
                <w:b/>
              </w:rPr>
              <w:t>(variation</w:t>
            </w:r>
            <w:r>
              <w:rPr>
                <w:b/>
                <w:sz w:val="21"/>
                <w:vertAlign w:val="superscript"/>
              </w:rPr>
              <w:footnoteReference w:id="3"/>
            </w:r>
            <w:r>
              <w:rPr>
                <w:b/>
              </w:rPr>
              <w:t xml:space="preserve">) </w:t>
            </w:r>
          </w:p>
        </w:tc>
      </w:tr>
      <w:tr w:rsidR="00CB17B0">
        <w:trPr>
          <w:trHeight w:val="662"/>
        </w:trPr>
        <w:tc>
          <w:tcPr>
            <w:tcW w:w="201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Galway-West </w:t>
            </w:r>
          </w:p>
        </w:tc>
        <w:tc>
          <w:tcPr>
            <w:tcW w:w="3950"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right="58" w:firstLine="0"/>
            </w:pPr>
            <w:r>
              <w:t xml:space="preserve">Connemara and Galway City LEAs </w:t>
            </w:r>
          </w:p>
        </w:tc>
        <w:tc>
          <w:tcPr>
            <w:tcW w:w="1243"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124,749 </w:t>
            </w:r>
          </w:p>
        </w:tc>
        <w:tc>
          <w:tcPr>
            <w:tcW w:w="1238"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3" w:firstLine="0"/>
              <w:jc w:val="right"/>
            </w:pPr>
            <w:r>
              <w:t xml:space="preserve"> </w:t>
            </w:r>
          </w:p>
        </w:tc>
        <w:tc>
          <w:tcPr>
            <w:tcW w:w="174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r w:rsidR="00CB17B0">
        <w:trPr>
          <w:trHeight w:val="3605"/>
        </w:trPr>
        <w:tc>
          <w:tcPr>
            <w:tcW w:w="201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 </w:t>
            </w:r>
          </w:p>
        </w:tc>
        <w:tc>
          <w:tcPr>
            <w:tcW w:w="3950"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5" w:firstLine="0"/>
            </w:pPr>
            <w:r>
              <w:t xml:space="preserve">Part of </w:t>
            </w:r>
            <w:proofErr w:type="spellStart"/>
            <w:r>
              <w:t>Athenry-Oranmore</w:t>
            </w:r>
            <w:proofErr w:type="spellEnd"/>
            <w:r>
              <w:t xml:space="preserve"> LEA. </w:t>
            </w:r>
          </w:p>
          <w:p w:rsidR="00CB17B0" w:rsidRDefault="007B1B37">
            <w:pPr>
              <w:spacing w:after="12" w:line="259" w:lineRule="auto"/>
              <w:ind w:left="5" w:firstLine="0"/>
            </w:pPr>
            <w:r>
              <w:t xml:space="preserve">The EDs of: </w:t>
            </w:r>
          </w:p>
          <w:p w:rsidR="00CB17B0" w:rsidRDefault="007B1B37">
            <w:pPr>
              <w:numPr>
                <w:ilvl w:val="0"/>
                <w:numId w:val="5"/>
              </w:numPr>
              <w:spacing w:after="0" w:line="259" w:lineRule="auto"/>
              <w:ind w:hanging="360"/>
            </w:pPr>
            <w:r>
              <w:t xml:space="preserve">An </w:t>
            </w:r>
            <w:proofErr w:type="spellStart"/>
            <w:r>
              <w:t>Carn</w:t>
            </w:r>
            <w:proofErr w:type="spellEnd"/>
            <w:r>
              <w:t xml:space="preserve"> </w:t>
            </w:r>
            <w:proofErr w:type="spellStart"/>
            <w:r>
              <w:t>Mór</w:t>
            </w:r>
            <w:proofErr w:type="spellEnd"/>
            <w:r>
              <w:t xml:space="preserve"> (2769) </w:t>
            </w:r>
          </w:p>
          <w:p w:rsidR="00CB17B0" w:rsidRDefault="007B1B37">
            <w:pPr>
              <w:numPr>
                <w:ilvl w:val="0"/>
                <w:numId w:val="5"/>
              </w:numPr>
              <w:spacing w:after="0" w:line="259" w:lineRule="auto"/>
              <w:ind w:hanging="360"/>
            </w:pPr>
            <w:proofErr w:type="spellStart"/>
            <w:r>
              <w:t>Baile</w:t>
            </w:r>
            <w:proofErr w:type="spellEnd"/>
            <w:r>
              <w:t xml:space="preserve"> an </w:t>
            </w:r>
            <w:proofErr w:type="spellStart"/>
            <w:r>
              <w:t>Teampaill</w:t>
            </w:r>
            <w:proofErr w:type="spellEnd"/>
            <w:r>
              <w:t xml:space="preserve"> (1600) </w:t>
            </w:r>
          </w:p>
          <w:p w:rsidR="00CB17B0" w:rsidRDefault="007B1B37">
            <w:pPr>
              <w:numPr>
                <w:ilvl w:val="0"/>
                <w:numId w:val="5"/>
              </w:numPr>
              <w:spacing w:after="0" w:line="259" w:lineRule="auto"/>
              <w:ind w:hanging="360"/>
            </w:pPr>
            <w:proofErr w:type="spellStart"/>
            <w:r>
              <w:t>Baile</w:t>
            </w:r>
            <w:proofErr w:type="spellEnd"/>
            <w:r>
              <w:t xml:space="preserve"> </w:t>
            </w:r>
            <w:proofErr w:type="spellStart"/>
            <w:r>
              <w:t>Chláir</w:t>
            </w:r>
            <w:proofErr w:type="spellEnd"/>
            <w:r>
              <w:t xml:space="preserve"> (2359) </w:t>
            </w:r>
          </w:p>
          <w:p w:rsidR="00CB17B0" w:rsidRDefault="007B1B37">
            <w:pPr>
              <w:numPr>
                <w:ilvl w:val="0"/>
                <w:numId w:val="5"/>
              </w:numPr>
              <w:spacing w:after="0" w:line="259" w:lineRule="auto"/>
              <w:ind w:hanging="360"/>
            </w:pPr>
            <w:proofErr w:type="spellStart"/>
            <w:r>
              <w:t>Ceathrú</w:t>
            </w:r>
            <w:proofErr w:type="spellEnd"/>
            <w:r>
              <w:t xml:space="preserve"> </w:t>
            </w:r>
            <w:proofErr w:type="gramStart"/>
            <w:r>
              <w:t>An</w:t>
            </w:r>
            <w:proofErr w:type="gramEnd"/>
            <w:r>
              <w:t xml:space="preserve"> </w:t>
            </w:r>
            <w:proofErr w:type="spellStart"/>
            <w:r>
              <w:t>Bhrunaigh</w:t>
            </w:r>
            <w:proofErr w:type="spellEnd"/>
            <w:r>
              <w:t xml:space="preserve"> </w:t>
            </w:r>
          </w:p>
          <w:p w:rsidR="00CB17B0" w:rsidRDefault="007B1B37">
            <w:pPr>
              <w:spacing w:after="12" w:line="259" w:lineRule="auto"/>
              <w:ind w:left="725" w:firstLine="0"/>
            </w:pPr>
            <w:r>
              <w:t xml:space="preserve">(1035) </w:t>
            </w:r>
          </w:p>
          <w:p w:rsidR="00CB17B0" w:rsidRDefault="007B1B37">
            <w:pPr>
              <w:numPr>
                <w:ilvl w:val="0"/>
                <w:numId w:val="5"/>
              </w:numPr>
              <w:spacing w:after="0" w:line="259" w:lineRule="auto"/>
              <w:ind w:hanging="360"/>
            </w:pPr>
            <w:proofErr w:type="spellStart"/>
            <w:r>
              <w:t>Eanach</w:t>
            </w:r>
            <w:proofErr w:type="spellEnd"/>
            <w:r>
              <w:t xml:space="preserve"> </w:t>
            </w:r>
            <w:proofErr w:type="spellStart"/>
            <w:r>
              <w:t>Dhúin</w:t>
            </w:r>
            <w:proofErr w:type="spellEnd"/>
            <w:r>
              <w:t xml:space="preserve"> (1966) </w:t>
            </w:r>
          </w:p>
          <w:p w:rsidR="00CB17B0" w:rsidRDefault="007B1B37">
            <w:pPr>
              <w:numPr>
                <w:ilvl w:val="0"/>
                <w:numId w:val="5"/>
              </w:numPr>
              <w:spacing w:after="0" w:line="259" w:lineRule="auto"/>
              <w:ind w:hanging="360"/>
            </w:pPr>
            <w:proofErr w:type="spellStart"/>
            <w:r>
              <w:t>Liscananaun</w:t>
            </w:r>
            <w:proofErr w:type="spellEnd"/>
            <w:r>
              <w:t xml:space="preserve"> (1606) </w:t>
            </w:r>
          </w:p>
          <w:p w:rsidR="00CB17B0" w:rsidRDefault="007B1B37">
            <w:pPr>
              <w:numPr>
                <w:ilvl w:val="0"/>
                <w:numId w:val="5"/>
              </w:numPr>
              <w:spacing w:after="0" w:line="259" w:lineRule="auto"/>
              <w:ind w:hanging="360"/>
            </w:pPr>
            <w:proofErr w:type="spellStart"/>
            <w:r>
              <w:t>Oranmore</w:t>
            </w:r>
            <w:proofErr w:type="spellEnd"/>
            <w:r>
              <w:t xml:space="preserve"> (4708) </w:t>
            </w:r>
          </w:p>
          <w:p w:rsidR="00CB17B0" w:rsidRDefault="007B1B37">
            <w:pPr>
              <w:numPr>
                <w:ilvl w:val="0"/>
                <w:numId w:val="5"/>
              </w:numPr>
              <w:spacing w:after="0" w:line="259" w:lineRule="auto"/>
              <w:ind w:hanging="360"/>
            </w:pPr>
            <w:proofErr w:type="spellStart"/>
            <w:r>
              <w:t>Stradbally</w:t>
            </w:r>
            <w:proofErr w:type="spellEnd"/>
            <w:r>
              <w:t xml:space="preserve"> (1198) </w:t>
            </w:r>
          </w:p>
        </w:tc>
        <w:tc>
          <w:tcPr>
            <w:tcW w:w="1243"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17,241 </w:t>
            </w:r>
          </w:p>
        </w:tc>
        <w:tc>
          <w:tcPr>
            <w:tcW w:w="1238"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3" w:firstLine="0"/>
              <w:jc w:val="right"/>
            </w:pPr>
            <w:r>
              <w:t xml:space="preserve"> </w:t>
            </w:r>
          </w:p>
        </w:tc>
        <w:tc>
          <w:tcPr>
            <w:tcW w:w="1747"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r w:rsidR="00CB17B0">
        <w:trPr>
          <w:trHeight w:val="1320"/>
        </w:trPr>
        <w:tc>
          <w:tcPr>
            <w:tcW w:w="201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 </w:t>
            </w:r>
          </w:p>
        </w:tc>
        <w:tc>
          <w:tcPr>
            <w:tcW w:w="3950" w:type="dxa"/>
            <w:tcBorders>
              <w:top w:val="single" w:sz="4" w:space="0" w:color="000000"/>
              <w:left w:val="single" w:sz="4" w:space="0" w:color="000000"/>
              <w:bottom w:val="single" w:sz="4" w:space="0" w:color="000000"/>
              <w:right w:val="single" w:sz="4" w:space="0" w:color="000000"/>
            </w:tcBorders>
          </w:tcPr>
          <w:p w:rsidR="00CB17B0" w:rsidRDefault="007B1B37">
            <w:pPr>
              <w:spacing w:after="2" w:line="267" w:lineRule="auto"/>
              <w:ind w:left="5" w:firstLine="0"/>
            </w:pPr>
            <w:r>
              <w:t xml:space="preserve">Part of </w:t>
            </w:r>
            <w:proofErr w:type="spellStart"/>
            <w:r>
              <w:t>Gort-Kinvara</w:t>
            </w:r>
            <w:proofErr w:type="spellEnd"/>
            <w:r>
              <w:t xml:space="preserve"> LEA. The EDs of: </w:t>
            </w:r>
          </w:p>
          <w:p w:rsidR="00CB17B0" w:rsidRDefault="007B1B37">
            <w:pPr>
              <w:numPr>
                <w:ilvl w:val="0"/>
                <w:numId w:val="6"/>
              </w:numPr>
              <w:spacing w:after="0" w:line="259" w:lineRule="auto"/>
              <w:ind w:hanging="360"/>
            </w:pPr>
            <w:proofErr w:type="spellStart"/>
            <w:r>
              <w:t>Ballynacourty</w:t>
            </w:r>
            <w:proofErr w:type="spellEnd"/>
            <w:r>
              <w:t xml:space="preserve"> (1226) </w:t>
            </w:r>
          </w:p>
          <w:p w:rsidR="00CB17B0" w:rsidRDefault="007B1B37">
            <w:pPr>
              <w:numPr>
                <w:ilvl w:val="0"/>
                <w:numId w:val="6"/>
              </w:numPr>
              <w:spacing w:after="0" w:line="259" w:lineRule="auto"/>
              <w:ind w:hanging="360"/>
            </w:pPr>
            <w:proofErr w:type="spellStart"/>
            <w:r>
              <w:t>Clarinbridge</w:t>
            </w:r>
            <w:proofErr w:type="spellEnd"/>
            <w:r>
              <w:t xml:space="preserve"> (4140) </w:t>
            </w:r>
          </w:p>
        </w:tc>
        <w:tc>
          <w:tcPr>
            <w:tcW w:w="1243"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5,366 </w:t>
            </w:r>
          </w:p>
        </w:tc>
        <w:tc>
          <w:tcPr>
            <w:tcW w:w="1238"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5" w:firstLine="0"/>
              <w:jc w:val="right"/>
            </w:pPr>
            <w:r>
              <w:t xml:space="preserve">147,356 </w:t>
            </w:r>
          </w:p>
        </w:tc>
        <w:tc>
          <w:tcPr>
            <w:tcW w:w="1747"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right="62" w:firstLine="0"/>
              <w:jc w:val="right"/>
            </w:pPr>
            <w:r>
              <w:t xml:space="preserve">1:29,471.2 </w:t>
            </w:r>
          </w:p>
          <w:p w:rsidR="00CB17B0" w:rsidRDefault="007B1B37">
            <w:pPr>
              <w:spacing w:after="0" w:line="259" w:lineRule="auto"/>
              <w:ind w:left="654" w:hanging="90"/>
            </w:pPr>
            <w:r>
              <w:t xml:space="preserve">(-1.64% / +4.11%) </w:t>
            </w:r>
          </w:p>
        </w:tc>
      </w:tr>
    </w:tbl>
    <w:p w:rsidR="00CB17B0" w:rsidRDefault="007B1B37">
      <w:pPr>
        <w:spacing w:after="6440" w:line="259" w:lineRule="auto"/>
        <w:ind w:left="0"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p>
    <w:p w:rsidR="00CB17B0" w:rsidRDefault="007B1B37">
      <w:pPr>
        <w:spacing w:after="0" w:line="259" w:lineRule="auto"/>
        <w:ind w:left="0" w:firstLine="0"/>
      </w:pPr>
      <w:r>
        <w:rPr>
          <w:noProof/>
          <w:sz w:val="22"/>
        </w:rPr>
        <mc:AlternateContent>
          <mc:Choice Requires="wpg">
            <w:drawing>
              <wp:inline distT="0" distB="0" distL="0" distR="0">
                <wp:extent cx="1828800" cy="6097"/>
                <wp:effectExtent l="0" t="0" r="0" b="0"/>
                <wp:docPr id="13978" name="Group 13978"/>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16383" name="Shape 1638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78" style="width:144pt;height:0.480042pt;mso-position-horizontal-relative:char;mso-position-vertical-relative:line" coordsize="18288,60">
                <v:shape id="Shape 16384"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rsidR="00CB17B0" w:rsidRDefault="007B1B37">
      <w:pPr>
        <w:spacing w:after="137" w:line="259" w:lineRule="auto"/>
        <w:ind w:left="0" w:firstLine="0"/>
        <w:jc w:val="right"/>
      </w:pPr>
      <w:r>
        <w:rPr>
          <w:rFonts w:ascii="Times New Roman" w:eastAsia="Times New Roman" w:hAnsi="Times New Roman" w:cs="Times New Roman"/>
        </w:rPr>
        <w:t xml:space="preserve"> </w:t>
      </w:r>
    </w:p>
    <w:tbl>
      <w:tblPr>
        <w:tblStyle w:val="TableGrid"/>
        <w:tblW w:w="10195" w:type="dxa"/>
        <w:tblInd w:w="5" w:type="dxa"/>
        <w:tblCellMar>
          <w:top w:w="3" w:type="dxa"/>
          <w:left w:w="106" w:type="dxa"/>
          <w:bottom w:w="0" w:type="dxa"/>
          <w:right w:w="42" w:type="dxa"/>
        </w:tblCellMar>
        <w:tblLook w:val="04A0" w:firstRow="1" w:lastRow="0" w:firstColumn="1" w:lastColumn="0" w:noHBand="0" w:noVBand="1"/>
      </w:tblPr>
      <w:tblGrid>
        <w:gridCol w:w="2026"/>
        <w:gridCol w:w="4401"/>
        <w:gridCol w:w="1066"/>
        <w:gridCol w:w="1104"/>
        <w:gridCol w:w="1598"/>
      </w:tblGrid>
      <w:tr w:rsidR="00CB17B0">
        <w:trPr>
          <w:trHeight w:val="341"/>
        </w:trPr>
        <w:tc>
          <w:tcPr>
            <w:tcW w:w="202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Galway-East </w:t>
            </w:r>
          </w:p>
        </w:tc>
        <w:tc>
          <w:tcPr>
            <w:tcW w:w="440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Ballinasloe, </w:t>
            </w:r>
            <w:proofErr w:type="spellStart"/>
            <w:r>
              <w:t>Loughrea</w:t>
            </w:r>
            <w:proofErr w:type="spellEnd"/>
            <w:r>
              <w:t xml:space="preserve">, </w:t>
            </w:r>
            <w:proofErr w:type="spellStart"/>
            <w:r>
              <w:t>Tuam</w:t>
            </w:r>
            <w:proofErr w:type="spellEnd"/>
            <w:r>
              <w:t xml:space="preserve"> LEAs </w:t>
            </w:r>
          </w:p>
        </w:tc>
        <w:tc>
          <w:tcPr>
            <w:tcW w:w="106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08" w:firstLine="0"/>
            </w:pPr>
            <w:r>
              <w:t xml:space="preserve">91,213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3" w:firstLine="0"/>
              <w:jc w:val="righ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2" w:firstLine="0"/>
              <w:jc w:val="right"/>
            </w:pPr>
            <w:r>
              <w:t xml:space="preserve"> </w:t>
            </w:r>
          </w:p>
        </w:tc>
      </w:tr>
      <w:tr w:rsidR="00CB17B0">
        <w:trPr>
          <w:trHeight w:val="662"/>
        </w:trPr>
        <w:tc>
          <w:tcPr>
            <w:tcW w:w="202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 </w:t>
            </w:r>
          </w:p>
        </w:tc>
        <w:tc>
          <w:tcPr>
            <w:tcW w:w="440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Parts of </w:t>
            </w:r>
            <w:proofErr w:type="spellStart"/>
            <w:r>
              <w:t>Athenry-Oranmore</w:t>
            </w:r>
            <w:proofErr w:type="spellEnd"/>
            <w:r>
              <w:t xml:space="preserve"> LEA not included above </w:t>
            </w:r>
          </w:p>
        </w:tc>
        <w:tc>
          <w:tcPr>
            <w:tcW w:w="106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08" w:firstLine="0"/>
            </w:pPr>
            <w:r>
              <w:t xml:space="preserve">17,922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3" w:firstLine="0"/>
              <w:jc w:val="righ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2" w:firstLine="0"/>
              <w:jc w:val="right"/>
            </w:pPr>
            <w:r>
              <w:t xml:space="preserve"> </w:t>
            </w:r>
          </w:p>
        </w:tc>
      </w:tr>
      <w:tr w:rsidR="00CB17B0">
        <w:trPr>
          <w:trHeight w:val="662"/>
        </w:trPr>
        <w:tc>
          <w:tcPr>
            <w:tcW w:w="202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t xml:space="preserve"> </w:t>
            </w:r>
          </w:p>
        </w:tc>
        <w:tc>
          <w:tcPr>
            <w:tcW w:w="440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pPr>
            <w:r>
              <w:t xml:space="preserve">Part of </w:t>
            </w:r>
            <w:proofErr w:type="spellStart"/>
            <w:r>
              <w:t>Gort-Kinvara</w:t>
            </w:r>
            <w:proofErr w:type="spellEnd"/>
            <w:r>
              <w:t xml:space="preserve"> LEA not included above </w:t>
            </w:r>
          </w:p>
        </w:tc>
        <w:tc>
          <w:tcPr>
            <w:tcW w:w="106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08" w:firstLine="0"/>
            </w:pPr>
            <w:r>
              <w:t xml:space="preserve">19,960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3" w:firstLine="0"/>
              <w:jc w:val="right"/>
            </w:pP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2" w:firstLine="0"/>
              <w:jc w:val="right"/>
            </w:pPr>
            <w:r>
              <w:t xml:space="preserve"> </w:t>
            </w:r>
          </w:p>
        </w:tc>
      </w:tr>
      <w:tr w:rsidR="00CB17B0">
        <w:trPr>
          <w:trHeight w:val="8453"/>
        </w:trPr>
        <w:tc>
          <w:tcPr>
            <w:tcW w:w="202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pPr>
            <w:r>
              <w:lastRenderedPageBreak/>
              <w:t xml:space="preserve"> </w:t>
            </w:r>
          </w:p>
        </w:tc>
        <w:tc>
          <w:tcPr>
            <w:tcW w:w="440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67" w:lineRule="auto"/>
              <w:ind w:left="0" w:firstLine="0"/>
            </w:pPr>
            <w:r>
              <w:t xml:space="preserve">Part of the </w:t>
            </w:r>
            <w:proofErr w:type="spellStart"/>
            <w:r>
              <w:t>Athlone</w:t>
            </w:r>
            <w:proofErr w:type="spellEnd"/>
            <w:r>
              <w:t xml:space="preserve"> LEA, consisting of the EDs of: </w:t>
            </w:r>
          </w:p>
          <w:p w:rsidR="00CB17B0" w:rsidRDefault="007B1B37">
            <w:pPr>
              <w:numPr>
                <w:ilvl w:val="0"/>
                <w:numId w:val="7"/>
              </w:numPr>
              <w:spacing w:after="0" w:line="259" w:lineRule="auto"/>
              <w:ind w:hanging="360"/>
            </w:pPr>
            <w:proofErr w:type="spellStart"/>
            <w:r>
              <w:rPr>
                <w:sz w:val="22"/>
              </w:rPr>
              <w:t>Athleague</w:t>
            </w:r>
            <w:proofErr w:type="spellEnd"/>
            <w:r>
              <w:rPr>
                <w:sz w:val="22"/>
              </w:rPr>
              <w:t xml:space="preserve"> </w:t>
            </w:r>
            <w:proofErr w:type="gramStart"/>
            <w:r>
              <w:rPr>
                <w:sz w:val="22"/>
              </w:rPr>
              <w:t>East  (</w:t>
            </w:r>
            <w:proofErr w:type="gramEnd"/>
            <w:r>
              <w:rPr>
                <w:sz w:val="22"/>
              </w:rPr>
              <w:t xml:space="preserve">517) </w:t>
            </w:r>
          </w:p>
          <w:p w:rsidR="00CB17B0" w:rsidRDefault="007B1B37">
            <w:pPr>
              <w:numPr>
                <w:ilvl w:val="0"/>
                <w:numId w:val="7"/>
              </w:numPr>
              <w:spacing w:after="0" w:line="259" w:lineRule="auto"/>
              <w:ind w:hanging="360"/>
            </w:pPr>
            <w:proofErr w:type="spellStart"/>
            <w:r>
              <w:rPr>
                <w:sz w:val="22"/>
              </w:rPr>
              <w:t>Athleague</w:t>
            </w:r>
            <w:proofErr w:type="spellEnd"/>
            <w:r>
              <w:rPr>
                <w:sz w:val="22"/>
              </w:rPr>
              <w:t xml:space="preserve"> </w:t>
            </w:r>
            <w:proofErr w:type="gramStart"/>
            <w:r>
              <w:rPr>
                <w:sz w:val="22"/>
              </w:rPr>
              <w:t>West  (</w:t>
            </w:r>
            <w:proofErr w:type="gramEnd"/>
            <w:r>
              <w:rPr>
                <w:sz w:val="22"/>
              </w:rPr>
              <w:t xml:space="preserve">610) </w:t>
            </w:r>
          </w:p>
          <w:p w:rsidR="00CB17B0" w:rsidRDefault="007B1B37">
            <w:pPr>
              <w:numPr>
                <w:ilvl w:val="0"/>
                <w:numId w:val="7"/>
              </w:numPr>
              <w:spacing w:after="0" w:line="259" w:lineRule="auto"/>
              <w:ind w:hanging="360"/>
            </w:pPr>
            <w:proofErr w:type="spellStart"/>
            <w:r>
              <w:rPr>
                <w:sz w:val="22"/>
              </w:rPr>
              <w:t>Athlone</w:t>
            </w:r>
            <w:proofErr w:type="spellEnd"/>
            <w:r>
              <w:rPr>
                <w:sz w:val="22"/>
              </w:rPr>
              <w:t xml:space="preserve"> West </w:t>
            </w:r>
            <w:proofErr w:type="gramStart"/>
            <w:r>
              <w:rPr>
                <w:sz w:val="22"/>
              </w:rPr>
              <w:t>Rural  (</w:t>
            </w:r>
            <w:proofErr w:type="gramEnd"/>
            <w:r>
              <w:rPr>
                <w:sz w:val="22"/>
              </w:rPr>
              <w:t xml:space="preserve">5,262) </w:t>
            </w:r>
          </w:p>
          <w:p w:rsidR="00CB17B0" w:rsidRDefault="007B1B37">
            <w:pPr>
              <w:numPr>
                <w:ilvl w:val="0"/>
                <w:numId w:val="7"/>
              </w:numPr>
              <w:spacing w:after="0" w:line="259" w:lineRule="auto"/>
              <w:ind w:hanging="360"/>
            </w:pPr>
            <w:proofErr w:type="spellStart"/>
            <w:proofErr w:type="gramStart"/>
            <w:r>
              <w:rPr>
                <w:sz w:val="22"/>
              </w:rPr>
              <w:t>Ballydangan</w:t>
            </w:r>
            <w:proofErr w:type="spellEnd"/>
            <w:r>
              <w:rPr>
                <w:sz w:val="22"/>
              </w:rPr>
              <w:t xml:space="preserve">  (</w:t>
            </w:r>
            <w:proofErr w:type="gramEnd"/>
            <w:r>
              <w:rPr>
                <w:sz w:val="22"/>
              </w:rPr>
              <w:t xml:space="preserve">785) </w:t>
            </w:r>
          </w:p>
          <w:p w:rsidR="00CB17B0" w:rsidRDefault="007B1B37">
            <w:pPr>
              <w:numPr>
                <w:ilvl w:val="0"/>
                <w:numId w:val="7"/>
              </w:numPr>
              <w:spacing w:after="0" w:line="259" w:lineRule="auto"/>
              <w:ind w:hanging="360"/>
            </w:pPr>
            <w:proofErr w:type="spellStart"/>
            <w:proofErr w:type="gramStart"/>
            <w:r>
              <w:rPr>
                <w:sz w:val="22"/>
              </w:rPr>
              <w:t>Caltragh</w:t>
            </w:r>
            <w:proofErr w:type="spellEnd"/>
            <w:r>
              <w:rPr>
                <w:sz w:val="22"/>
              </w:rPr>
              <w:t xml:space="preserve">  (</w:t>
            </w:r>
            <w:proofErr w:type="gramEnd"/>
            <w:r>
              <w:rPr>
                <w:sz w:val="22"/>
              </w:rPr>
              <w:t xml:space="preserve">280) </w:t>
            </w:r>
          </w:p>
          <w:p w:rsidR="00CB17B0" w:rsidRDefault="007B1B37">
            <w:pPr>
              <w:numPr>
                <w:ilvl w:val="0"/>
                <w:numId w:val="7"/>
              </w:numPr>
              <w:spacing w:after="0" w:line="259" w:lineRule="auto"/>
              <w:ind w:hanging="360"/>
            </w:pPr>
            <w:proofErr w:type="spellStart"/>
            <w:proofErr w:type="gramStart"/>
            <w:r>
              <w:rPr>
                <w:sz w:val="22"/>
              </w:rPr>
              <w:t>Carnagh</w:t>
            </w:r>
            <w:proofErr w:type="spellEnd"/>
            <w:r>
              <w:rPr>
                <w:sz w:val="22"/>
              </w:rPr>
              <w:t xml:space="preserve">  (</w:t>
            </w:r>
            <w:proofErr w:type="gramEnd"/>
            <w:r>
              <w:rPr>
                <w:sz w:val="22"/>
              </w:rPr>
              <w:t xml:space="preserve">836) </w:t>
            </w:r>
          </w:p>
          <w:p w:rsidR="00CB17B0" w:rsidRDefault="007B1B37">
            <w:pPr>
              <w:numPr>
                <w:ilvl w:val="0"/>
                <w:numId w:val="7"/>
              </w:numPr>
              <w:spacing w:after="0" w:line="259" w:lineRule="auto"/>
              <w:ind w:hanging="360"/>
            </w:pPr>
            <w:proofErr w:type="spellStart"/>
            <w:proofErr w:type="gramStart"/>
            <w:r>
              <w:rPr>
                <w:sz w:val="22"/>
              </w:rPr>
              <w:t>Carrowreagh</w:t>
            </w:r>
            <w:proofErr w:type="spellEnd"/>
            <w:r>
              <w:rPr>
                <w:sz w:val="22"/>
              </w:rPr>
              <w:t xml:space="preserve">  (</w:t>
            </w:r>
            <w:proofErr w:type="gramEnd"/>
            <w:r>
              <w:rPr>
                <w:sz w:val="22"/>
              </w:rPr>
              <w:t xml:space="preserve">550) </w:t>
            </w:r>
          </w:p>
          <w:p w:rsidR="00CB17B0" w:rsidRDefault="007B1B37">
            <w:pPr>
              <w:numPr>
                <w:ilvl w:val="0"/>
                <w:numId w:val="7"/>
              </w:numPr>
              <w:spacing w:after="0" w:line="259" w:lineRule="auto"/>
              <w:ind w:hanging="360"/>
            </w:pPr>
            <w:proofErr w:type="spellStart"/>
            <w:proofErr w:type="gramStart"/>
            <w:r>
              <w:rPr>
                <w:sz w:val="22"/>
              </w:rPr>
              <w:t>Castlesampson</w:t>
            </w:r>
            <w:proofErr w:type="spellEnd"/>
            <w:r>
              <w:rPr>
                <w:sz w:val="22"/>
              </w:rPr>
              <w:t xml:space="preserve">  (</w:t>
            </w:r>
            <w:proofErr w:type="gramEnd"/>
            <w:r>
              <w:rPr>
                <w:sz w:val="22"/>
              </w:rPr>
              <w:t xml:space="preserve">417) </w:t>
            </w:r>
          </w:p>
          <w:p w:rsidR="00CB17B0" w:rsidRDefault="007B1B37">
            <w:pPr>
              <w:numPr>
                <w:ilvl w:val="0"/>
                <w:numId w:val="7"/>
              </w:numPr>
              <w:spacing w:after="0" w:line="259" w:lineRule="auto"/>
              <w:ind w:hanging="360"/>
            </w:pPr>
            <w:proofErr w:type="spellStart"/>
            <w:proofErr w:type="gramStart"/>
            <w:r>
              <w:rPr>
                <w:sz w:val="22"/>
              </w:rPr>
              <w:t>Cloonburren</w:t>
            </w:r>
            <w:proofErr w:type="spellEnd"/>
            <w:r>
              <w:rPr>
                <w:sz w:val="22"/>
              </w:rPr>
              <w:t xml:space="preserve">  (</w:t>
            </w:r>
            <w:proofErr w:type="gramEnd"/>
            <w:r>
              <w:rPr>
                <w:sz w:val="22"/>
              </w:rPr>
              <w:t xml:space="preserve">231) </w:t>
            </w:r>
          </w:p>
          <w:p w:rsidR="00CB17B0" w:rsidRDefault="007B1B37">
            <w:pPr>
              <w:numPr>
                <w:ilvl w:val="0"/>
                <w:numId w:val="7"/>
              </w:numPr>
              <w:spacing w:after="0" w:line="259" w:lineRule="auto"/>
              <w:ind w:hanging="360"/>
            </w:pPr>
            <w:proofErr w:type="spellStart"/>
            <w:proofErr w:type="gramStart"/>
            <w:r>
              <w:rPr>
                <w:sz w:val="22"/>
              </w:rPr>
              <w:t>Cloonown</w:t>
            </w:r>
            <w:proofErr w:type="spellEnd"/>
            <w:r>
              <w:rPr>
                <w:sz w:val="22"/>
              </w:rPr>
              <w:t xml:space="preserve">  (</w:t>
            </w:r>
            <w:proofErr w:type="gramEnd"/>
            <w:r>
              <w:rPr>
                <w:sz w:val="22"/>
              </w:rPr>
              <w:t xml:space="preserve">272) </w:t>
            </w:r>
          </w:p>
          <w:p w:rsidR="00CB17B0" w:rsidRDefault="007B1B37">
            <w:pPr>
              <w:numPr>
                <w:ilvl w:val="0"/>
                <w:numId w:val="7"/>
              </w:numPr>
              <w:spacing w:after="0" w:line="259" w:lineRule="auto"/>
              <w:ind w:hanging="360"/>
            </w:pPr>
            <w:proofErr w:type="spellStart"/>
            <w:proofErr w:type="gramStart"/>
            <w:r>
              <w:rPr>
                <w:sz w:val="22"/>
              </w:rPr>
              <w:t>Crannagh</w:t>
            </w:r>
            <w:proofErr w:type="spellEnd"/>
            <w:r>
              <w:rPr>
                <w:sz w:val="22"/>
              </w:rPr>
              <w:t xml:space="preserve">  (</w:t>
            </w:r>
            <w:proofErr w:type="gramEnd"/>
            <w:r>
              <w:rPr>
                <w:sz w:val="22"/>
              </w:rPr>
              <w:t xml:space="preserve">1,230) </w:t>
            </w:r>
          </w:p>
          <w:p w:rsidR="00CB17B0" w:rsidRDefault="007B1B37">
            <w:pPr>
              <w:numPr>
                <w:ilvl w:val="0"/>
                <w:numId w:val="7"/>
              </w:numPr>
              <w:spacing w:after="0" w:line="259" w:lineRule="auto"/>
              <w:ind w:hanging="360"/>
            </w:pPr>
            <w:proofErr w:type="spellStart"/>
            <w:proofErr w:type="gramStart"/>
            <w:r>
              <w:rPr>
                <w:sz w:val="22"/>
              </w:rPr>
              <w:t>Creagh</w:t>
            </w:r>
            <w:proofErr w:type="spellEnd"/>
            <w:r>
              <w:rPr>
                <w:sz w:val="22"/>
              </w:rPr>
              <w:t xml:space="preserve">  (</w:t>
            </w:r>
            <w:proofErr w:type="gramEnd"/>
            <w:r>
              <w:rPr>
                <w:sz w:val="22"/>
              </w:rPr>
              <w:t xml:space="preserve">994) </w:t>
            </w:r>
          </w:p>
          <w:p w:rsidR="00CB17B0" w:rsidRDefault="007B1B37">
            <w:pPr>
              <w:numPr>
                <w:ilvl w:val="0"/>
                <w:numId w:val="7"/>
              </w:numPr>
              <w:spacing w:after="0" w:line="259" w:lineRule="auto"/>
              <w:ind w:hanging="360"/>
            </w:pPr>
            <w:proofErr w:type="spellStart"/>
            <w:proofErr w:type="gramStart"/>
            <w:r>
              <w:rPr>
                <w:sz w:val="22"/>
              </w:rPr>
              <w:t>Culliagh</w:t>
            </w:r>
            <w:proofErr w:type="spellEnd"/>
            <w:r>
              <w:rPr>
                <w:sz w:val="22"/>
              </w:rPr>
              <w:t xml:space="preserve">  (</w:t>
            </w:r>
            <w:proofErr w:type="gramEnd"/>
            <w:r>
              <w:rPr>
                <w:sz w:val="22"/>
              </w:rPr>
              <w:t xml:space="preserve">215) </w:t>
            </w:r>
          </w:p>
          <w:p w:rsidR="00CB17B0" w:rsidRDefault="007B1B37">
            <w:pPr>
              <w:numPr>
                <w:ilvl w:val="0"/>
                <w:numId w:val="7"/>
              </w:numPr>
              <w:spacing w:after="0" w:line="259" w:lineRule="auto"/>
              <w:ind w:hanging="360"/>
            </w:pPr>
            <w:proofErr w:type="spellStart"/>
            <w:proofErr w:type="gramStart"/>
            <w:r>
              <w:rPr>
                <w:sz w:val="22"/>
              </w:rPr>
              <w:t>Drumlosh</w:t>
            </w:r>
            <w:proofErr w:type="spellEnd"/>
            <w:r>
              <w:rPr>
                <w:sz w:val="22"/>
              </w:rPr>
              <w:t xml:space="preserve">  (</w:t>
            </w:r>
            <w:proofErr w:type="gramEnd"/>
            <w:r>
              <w:rPr>
                <w:sz w:val="22"/>
              </w:rPr>
              <w:t xml:space="preserve">358) </w:t>
            </w:r>
          </w:p>
          <w:p w:rsidR="00CB17B0" w:rsidRDefault="007B1B37">
            <w:pPr>
              <w:numPr>
                <w:ilvl w:val="0"/>
                <w:numId w:val="7"/>
              </w:numPr>
              <w:spacing w:after="0" w:line="259" w:lineRule="auto"/>
              <w:ind w:hanging="360"/>
            </w:pPr>
            <w:proofErr w:type="gramStart"/>
            <w:r>
              <w:rPr>
                <w:sz w:val="22"/>
              </w:rPr>
              <w:t>Dysart  (</w:t>
            </w:r>
            <w:proofErr w:type="gramEnd"/>
            <w:r>
              <w:rPr>
                <w:sz w:val="22"/>
              </w:rPr>
              <w:t xml:space="preserve">239) </w:t>
            </w:r>
          </w:p>
          <w:p w:rsidR="00CB17B0" w:rsidRDefault="007B1B37">
            <w:pPr>
              <w:numPr>
                <w:ilvl w:val="0"/>
                <w:numId w:val="7"/>
              </w:numPr>
              <w:spacing w:after="0" w:line="259" w:lineRule="auto"/>
              <w:ind w:hanging="360"/>
            </w:pPr>
            <w:proofErr w:type="spellStart"/>
            <w:proofErr w:type="gramStart"/>
            <w:r>
              <w:rPr>
                <w:sz w:val="22"/>
              </w:rPr>
              <w:t>Kilcar</w:t>
            </w:r>
            <w:proofErr w:type="spellEnd"/>
            <w:r>
              <w:rPr>
                <w:sz w:val="22"/>
              </w:rPr>
              <w:t xml:space="preserve">  (</w:t>
            </w:r>
            <w:proofErr w:type="gramEnd"/>
            <w:r>
              <w:rPr>
                <w:sz w:val="22"/>
              </w:rPr>
              <w:t xml:space="preserve">387) </w:t>
            </w:r>
          </w:p>
          <w:p w:rsidR="00CB17B0" w:rsidRDefault="007B1B37">
            <w:pPr>
              <w:numPr>
                <w:ilvl w:val="0"/>
                <w:numId w:val="7"/>
              </w:numPr>
              <w:spacing w:after="0" w:line="259" w:lineRule="auto"/>
              <w:ind w:hanging="360"/>
            </w:pPr>
            <w:proofErr w:type="spellStart"/>
            <w:proofErr w:type="gramStart"/>
            <w:r>
              <w:rPr>
                <w:sz w:val="22"/>
              </w:rPr>
              <w:t>Lackan</w:t>
            </w:r>
            <w:proofErr w:type="spellEnd"/>
            <w:r>
              <w:rPr>
                <w:sz w:val="22"/>
              </w:rPr>
              <w:t xml:space="preserve">  (</w:t>
            </w:r>
            <w:proofErr w:type="gramEnd"/>
            <w:r>
              <w:rPr>
                <w:sz w:val="22"/>
              </w:rPr>
              <w:t xml:space="preserve">368) </w:t>
            </w:r>
          </w:p>
          <w:p w:rsidR="00CB17B0" w:rsidRDefault="007B1B37">
            <w:pPr>
              <w:numPr>
                <w:ilvl w:val="0"/>
                <w:numId w:val="7"/>
              </w:numPr>
              <w:spacing w:after="0" w:line="259" w:lineRule="auto"/>
              <w:ind w:hanging="360"/>
            </w:pPr>
            <w:proofErr w:type="spellStart"/>
            <w:proofErr w:type="gramStart"/>
            <w:r>
              <w:rPr>
                <w:sz w:val="22"/>
              </w:rPr>
              <w:t>Lecarrow</w:t>
            </w:r>
            <w:proofErr w:type="spellEnd"/>
            <w:r>
              <w:rPr>
                <w:sz w:val="22"/>
              </w:rPr>
              <w:t xml:space="preserve">  (</w:t>
            </w:r>
            <w:proofErr w:type="gramEnd"/>
            <w:r>
              <w:rPr>
                <w:sz w:val="22"/>
              </w:rPr>
              <w:t xml:space="preserve">334) </w:t>
            </w:r>
          </w:p>
          <w:p w:rsidR="00CB17B0" w:rsidRDefault="007B1B37">
            <w:pPr>
              <w:numPr>
                <w:ilvl w:val="0"/>
                <w:numId w:val="7"/>
              </w:numPr>
              <w:spacing w:after="0" w:line="259" w:lineRule="auto"/>
              <w:ind w:hanging="360"/>
            </w:pPr>
            <w:proofErr w:type="spellStart"/>
            <w:proofErr w:type="gramStart"/>
            <w:r>
              <w:rPr>
                <w:sz w:val="22"/>
              </w:rPr>
              <w:t>Lismaha</w:t>
            </w:r>
            <w:proofErr w:type="spellEnd"/>
            <w:r>
              <w:rPr>
                <w:sz w:val="22"/>
              </w:rPr>
              <w:t xml:space="preserve">  (</w:t>
            </w:r>
            <w:proofErr w:type="gramEnd"/>
            <w:r>
              <w:rPr>
                <w:sz w:val="22"/>
              </w:rPr>
              <w:t xml:space="preserve">384) </w:t>
            </w:r>
          </w:p>
          <w:p w:rsidR="00CB17B0" w:rsidRDefault="007B1B37">
            <w:pPr>
              <w:numPr>
                <w:ilvl w:val="0"/>
                <w:numId w:val="7"/>
              </w:numPr>
              <w:spacing w:after="0" w:line="259" w:lineRule="auto"/>
              <w:ind w:hanging="360"/>
            </w:pPr>
            <w:proofErr w:type="gramStart"/>
            <w:r>
              <w:rPr>
                <w:sz w:val="22"/>
              </w:rPr>
              <w:t>Moore  (</w:t>
            </w:r>
            <w:proofErr w:type="gramEnd"/>
            <w:r>
              <w:rPr>
                <w:sz w:val="22"/>
              </w:rPr>
              <w:t xml:space="preserve">338) </w:t>
            </w:r>
          </w:p>
          <w:p w:rsidR="00CB17B0" w:rsidRDefault="007B1B37">
            <w:pPr>
              <w:numPr>
                <w:ilvl w:val="0"/>
                <w:numId w:val="7"/>
              </w:numPr>
              <w:spacing w:after="0" w:line="259" w:lineRule="auto"/>
              <w:ind w:hanging="360"/>
            </w:pPr>
            <w:proofErr w:type="spellStart"/>
            <w:proofErr w:type="gramStart"/>
            <w:r>
              <w:rPr>
                <w:sz w:val="22"/>
              </w:rPr>
              <w:t>Rockhill</w:t>
            </w:r>
            <w:proofErr w:type="spellEnd"/>
            <w:r>
              <w:rPr>
                <w:sz w:val="22"/>
              </w:rPr>
              <w:t xml:space="preserve">  (</w:t>
            </w:r>
            <w:proofErr w:type="gramEnd"/>
            <w:r>
              <w:rPr>
                <w:sz w:val="22"/>
              </w:rPr>
              <w:t xml:space="preserve">436) </w:t>
            </w:r>
          </w:p>
          <w:p w:rsidR="00CB17B0" w:rsidRDefault="007B1B37">
            <w:pPr>
              <w:numPr>
                <w:ilvl w:val="0"/>
                <w:numId w:val="7"/>
              </w:numPr>
              <w:spacing w:after="0" w:line="259" w:lineRule="auto"/>
              <w:ind w:hanging="360"/>
            </w:pPr>
            <w:proofErr w:type="spellStart"/>
            <w:proofErr w:type="gramStart"/>
            <w:r>
              <w:rPr>
                <w:sz w:val="22"/>
              </w:rPr>
              <w:t>Scregg</w:t>
            </w:r>
            <w:proofErr w:type="spellEnd"/>
            <w:r>
              <w:rPr>
                <w:sz w:val="22"/>
              </w:rPr>
              <w:t xml:space="preserve">  (</w:t>
            </w:r>
            <w:proofErr w:type="gramEnd"/>
            <w:r>
              <w:rPr>
                <w:sz w:val="22"/>
              </w:rPr>
              <w:t xml:space="preserve">551) </w:t>
            </w:r>
          </w:p>
          <w:p w:rsidR="00CB17B0" w:rsidRDefault="007B1B37">
            <w:pPr>
              <w:numPr>
                <w:ilvl w:val="0"/>
                <w:numId w:val="7"/>
              </w:numPr>
              <w:spacing w:after="0" w:line="259" w:lineRule="auto"/>
              <w:ind w:hanging="360"/>
            </w:pPr>
            <w:proofErr w:type="spellStart"/>
            <w:proofErr w:type="gramStart"/>
            <w:r>
              <w:rPr>
                <w:sz w:val="22"/>
              </w:rPr>
              <w:t>Taghboy</w:t>
            </w:r>
            <w:proofErr w:type="spellEnd"/>
            <w:r>
              <w:rPr>
                <w:sz w:val="22"/>
              </w:rPr>
              <w:t xml:space="preserve">  (</w:t>
            </w:r>
            <w:proofErr w:type="gramEnd"/>
            <w:r>
              <w:rPr>
                <w:sz w:val="22"/>
              </w:rPr>
              <w:t xml:space="preserve">525) </w:t>
            </w:r>
          </w:p>
          <w:p w:rsidR="00CB17B0" w:rsidRDefault="007B1B37">
            <w:pPr>
              <w:numPr>
                <w:ilvl w:val="0"/>
                <w:numId w:val="7"/>
              </w:numPr>
              <w:spacing w:after="0" w:line="259" w:lineRule="auto"/>
              <w:ind w:hanging="360"/>
            </w:pPr>
            <w:proofErr w:type="spellStart"/>
            <w:proofErr w:type="gramStart"/>
            <w:r>
              <w:rPr>
                <w:sz w:val="22"/>
              </w:rPr>
              <w:t>Taghmaconnell</w:t>
            </w:r>
            <w:proofErr w:type="spellEnd"/>
            <w:r>
              <w:rPr>
                <w:sz w:val="22"/>
              </w:rPr>
              <w:t xml:space="preserve">  (</w:t>
            </w:r>
            <w:proofErr w:type="gramEnd"/>
            <w:r>
              <w:rPr>
                <w:sz w:val="22"/>
              </w:rPr>
              <w:t xml:space="preserve">310) </w:t>
            </w:r>
          </w:p>
          <w:p w:rsidR="00CB17B0" w:rsidRDefault="007B1B37">
            <w:pPr>
              <w:numPr>
                <w:ilvl w:val="0"/>
                <w:numId w:val="7"/>
              </w:numPr>
              <w:spacing w:after="0" w:line="259" w:lineRule="auto"/>
              <w:ind w:hanging="360"/>
            </w:pPr>
            <w:proofErr w:type="spellStart"/>
            <w:proofErr w:type="gramStart"/>
            <w:r>
              <w:rPr>
                <w:sz w:val="22"/>
              </w:rPr>
              <w:t>Thomastown</w:t>
            </w:r>
            <w:proofErr w:type="spellEnd"/>
            <w:r>
              <w:rPr>
                <w:sz w:val="22"/>
              </w:rPr>
              <w:t xml:space="preserve">  (</w:t>
            </w:r>
            <w:proofErr w:type="gramEnd"/>
            <w:r>
              <w:rPr>
                <w:sz w:val="22"/>
              </w:rPr>
              <w:t xml:space="preserve">779) </w:t>
            </w:r>
          </w:p>
          <w:p w:rsidR="00CB17B0" w:rsidRDefault="007B1B37">
            <w:pPr>
              <w:numPr>
                <w:ilvl w:val="0"/>
                <w:numId w:val="7"/>
              </w:numPr>
              <w:spacing w:after="0" w:line="259" w:lineRule="auto"/>
              <w:ind w:hanging="360"/>
            </w:pPr>
            <w:proofErr w:type="spellStart"/>
            <w:r>
              <w:rPr>
                <w:sz w:val="22"/>
              </w:rPr>
              <w:t>Turrock</w:t>
            </w:r>
            <w:proofErr w:type="spellEnd"/>
            <w:r>
              <w:rPr>
                <w:sz w:val="22"/>
              </w:rPr>
              <w:t xml:space="preserve">  (329) </w:t>
            </w:r>
          </w:p>
        </w:tc>
        <w:tc>
          <w:tcPr>
            <w:tcW w:w="1066"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108" w:firstLine="0"/>
            </w:pPr>
            <w:r>
              <w:t xml:space="preserve">17,537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jc w:val="both"/>
            </w:pPr>
            <w:r>
              <w:t xml:space="preserve">146,632 </w:t>
            </w:r>
          </w:p>
        </w:tc>
        <w:tc>
          <w:tcPr>
            <w:tcW w:w="1598"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right="64" w:firstLine="0"/>
              <w:jc w:val="right"/>
            </w:pPr>
            <w:r>
              <w:t xml:space="preserve">1:29,326.4 </w:t>
            </w:r>
          </w:p>
          <w:p w:rsidR="00CB17B0" w:rsidRDefault="007B1B37">
            <w:pPr>
              <w:spacing w:after="0" w:line="259" w:lineRule="auto"/>
              <w:ind w:left="505" w:hanging="90"/>
            </w:pPr>
            <w:r>
              <w:t xml:space="preserve">(-2.12% / +3.60%) </w:t>
            </w:r>
          </w:p>
        </w:tc>
      </w:tr>
    </w:tbl>
    <w:p w:rsidR="00CB17B0" w:rsidRDefault="007B1B37">
      <w:pPr>
        <w:spacing w:after="4005"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CB17B0" w:rsidRDefault="007B1B37">
      <w:pPr>
        <w:tabs>
          <w:tab w:val="right" w:pos="10264"/>
        </w:tabs>
        <w:spacing w:after="356" w:line="259" w:lineRule="auto"/>
        <w:ind w:left="-15" w:firstLine="0"/>
      </w:pPr>
      <w:r>
        <w:lastRenderedPageBreak/>
        <w:t xml:space="preserve"> </w:t>
      </w:r>
      <w:r>
        <w:tab/>
      </w:r>
      <w:r>
        <w:rPr>
          <w:b/>
          <w:i/>
        </w:rPr>
        <w:t xml:space="preserve">7 </w:t>
      </w:r>
    </w:p>
    <w:p w:rsidR="00CB17B0" w:rsidRDefault="007B1B37">
      <w:pPr>
        <w:spacing w:after="137" w:line="259" w:lineRule="auto"/>
        <w:ind w:left="0" w:firstLine="0"/>
        <w:jc w:val="right"/>
      </w:pPr>
      <w:r>
        <w:rPr>
          <w:rFonts w:ascii="Times New Roman" w:eastAsia="Times New Roman" w:hAnsi="Times New Roman" w:cs="Times New Roman"/>
        </w:rPr>
        <w:t xml:space="preserve"> </w:t>
      </w:r>
    </w:p>
    <w:tbl>
      <w:tblPr>
        <w:tblStyle w:val="TableGrid"/>
        <w:tblW w:w="10195" w:type="dxa"/>
        <w:tblInd w:w="5" w:type="dxa"/>
        <w:tblCellMar>
          <w:top w:w="3" w:type="dxa"/>
          <w:left w:w="106" w:type="dxa"/>
          <w:bottom w:w="0" w:type="dxa"/>
          <w:right w:w="45" w:type="dxa"/>
        </w:tblCellMar>
        <w:tblLook w:val="04A0" w:firstRow="1" w:lastRow="0" w:firstColumn="1" w:lastColumn="0" w:noHBand="0" w:noVBand="1"/>
      </w:tblPr>
      <w:tblGrid>
        <w:gridCol w:w="2011"/>
        <w:gridCol w:w="4392"/>
        <w:gridCol w:w="1104"/>
        <w:gridCol w:w="1099"/>
        <w:gridCol w:w="1589"/>
      </w:tblGrid>
      <w:tr w:rsidR="00CB17B0">
        <w:trPr>
          <w:trHeight w:val="341"/>
        </w:trPr>
        <w:tc>
          <w:tcPr>
            <w:tcW w:w="201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Mayo </w:t>
            </w:r>
          </w:p>
        </w:tc>
        <w:tc>
          <w:tcPr>
            <w:tcW w:w="439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Mayo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5" w:firstLine="0"/>
              <w:jc w:val="both"/>
            </w:pPr>
            <w:r>
              <w:t xml:space="preserve">137,231 </w:t>
            </w:r>
          </w:p>
        </w:tc>
        <w:tc>
          <w:tcPr>
            <w:tcW w:w="109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r w:rsidR="00CB17B0">
        <w:trPr>
          <w:trHeight w:val="5890"/>
        </w:trPr>
        <w:tc>
          <w:tcPr>
            <w:tcW w:w="201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 </w:t>
            </w:r>
          </w:p>
        </w:tc>
        <w:tc>
          <w:tcPr>
            <w:tcW w:w="4392" w:type="dxa"/>
            <w:tcBorders>
              <w:top w:val="single" w:sz="4" w:space="0" w:color="000000"/>
              <w:left w:val="single" w:sz="4" w:space="0" w:color="000000"/>
              <w:bottom w:val="single" w:sz="4" w:space="0" w:color="000000"/>
              <w:right w:val="single" w:sz="4" w:space="0" w:color="000000"/>
            </w:tcBorders>
          </w:tcPr>
          <w:p w:rsidR="00CB17B0" w:rsidRDefault="007B1B37">
            <w:pPr>
              <w:spacing w:after="2" w:line="267" w:lineRule="auto"/>
              <w:ind w:left="4" w:firstLine="0"/>
            </w:pPr>
            <w:r>
              <w:t xml:space="preserve">Parts of the Boyle LEA, consisting of the EDs of: </w:t>
            </w:r>
          </w:p>
          <w:p w:rsidR="00CB17B0" w:rsidRDefault="007B1B37">
            <w:pPr>
              <w:numPr>
                <w:ilvl w:val="0"/>
                <w:numId w:val="8"/>
              </w:numPr>
              <w:spacing w:after="0" w:line="259" w:lineRule="auto"/>
              <w:ind w:hanging="360"/>
            </w:pPr>
            <w:proofErr w:type="spellStart"/>
            <w:r>
              <w:t>Ballaghaderreen</w:t>
            </w:r>
            <w:proofErr w:type="spellEnd"/>
            <w:r>
              <w:t xml:space="preserve"> (3229) </w:t>
            </w:r>
          </w:p>
          <w:p w:rsidR="00CB17B0" w:rsidRDefault="007B1B37">
            <w:pPr>
              <w:numPr>
                <w:ilvl w:val="0"/>
                <w:numId w:val="8"/>
              </w:numPr>
              <w:spacing w:after="0" w:line="259" w:lineRule="auto"/>
              <w:ind w:hanging="360"/>
            </w:pPr>
            <w:proofErr w:type="spellStart"/>
            <w:r>
              <w:t>Bellanagare</w:t>
            </w:r>
            <w:proofErr w:type="spellEnd"/>
            <w:r>
              <w:t xml:space="preserve"> (696) </w:t>
            </w:r>
          </w:p>
          <w:p w:rsidR="00CB17B0" w:rsidRDefault="007B1B37">
            <w:pPr>
              <w:numPr>
                <w:ilvl w:val="0"/>
                <w:numId w:val="8"/>
              </w:numPr>
              <w:spacing w:after="0" w:line="259" w:lineRule="auto"/>
              <w:ind w:hanging="360"/>
            </w:pPr>
            <w:proofErr w:type="spellStart"/>
            <w:r>
              <w:t>Breedoge</w:t>
            </w:r>
            <w:proofErr w:type="spellEnd"/>
            <w:r>
              <w:t xml:space="preserve"> (248) </w:t>
            </w:r>
          </w:p>
          <w:p w:rsidR="00CB17B0" w:rsidRDefault="007B1B37">
            <w:pPr>
              <w:numPr>
                <w:ilvl w:val="0"/>
                <w:numId w:val="8"/>
              </w:numPr>
              <w:spacing w:after="0" w:line="259" w:lineRule="auto"/>
              <w:ind w:hanging="360"/>
            </w:pPr>
            <w:proofErr w:type="spellStart"/>
            <w:r>
              <w:t>Buckill</w:t>
            </w:r>
            <w:proofErr w:type="spellEnd"/>
            <w:r>
              <w:t xml:space="preserve"> (344) </w:t>
            </w:r>
          </w:p>
          <w:p w:rsidR="00CB17B0" w:rsidRDefault="007B1B37">
            <w:pPr>
              <w:numPr>
                <w:ilvl w:val="0"/>
                <w:numId w:val="8"/>
              </w:numPr>
              <w:spacing w:after="0" w:line="259" w:lineRule="auto"/>
              <w:ind w:hanging="360"/>
            </w:pPr>
            <w:proofErr w:type="spellStart"/>
            <w:r>
              <w:t>Cloonyquin</w:t>
            </w:r>
            <w:proofErr w:type="spellEnd"/>
            <w:r>
              <w:t xml:space="preserve"> (253) </w:t>
            </w:r>
          </w:p>
          <w:p w:rsidR="00CB17B0" w:rsidRDefault="007B1B37">
            <w:pPr>
              <w:numPr>
                <w:ilvl w:val="0"/>
                <w:numId w:val="8"/>
              </w:numPr>
              <w:spacing w:after="0" w:line="259" w:lineRule="auto"/>
              <w:ind w:hanging="360"/>
            </w:pPr>
            <w:proofErr w:type="spellStart"/>
            <w:r>
              <w:t>Croghan</w:t>
            </w:r>
            <w:proofErr w:type="spellEnd"/>
            <w:r>
              <w:t xml:space="preserve"> (417) </w:t>
            </w:r>
          </w:p>
          <w:p w:rsidR="00CB17B0" w:rsidRDefault="007B1B37">
            <w:pPr>
              <w:numPr>
                <w:ilvl w:val="0"/>
                <w:numId w:val="8"/>
              </w:numPr>
              <w:spacing w:after="0" w:line="259" w:lineRule="auto"/>
              <w:ind w:hanging="360"/>
            </w:pPr>
            <w:proofErr w:type="spellStart"/>
            <w:r>
              <w:t>Edmondstown</w:t>
            </w:r>
            <w:proofErr w:type="spellEnd"/>
            <w:r>
              <w:t xml:space="preserve"> (458) </w:t>
            </w:r>
          </w:p>
          <w:p w:rsidR="00CB17B0" w:rsidRDefault="007B1B37">
            <w:pPr>
              <w:numPr>
                <w:ilvl w:val="0"/>
                <w:numId w:val="8"/>
              </w:numPr>
              <w:spacing w:after="0" w:line="259" w:lineRule="auto"/>
              <w:ind w:hanging="360"/>
            </w:pPr>
            <w:proofErr w:type="spellStart"/>
            <w:r>
              <w:t>Estersnow</w:t>
            </w:r>
            <w:proofErr w:type="spellEnd"/>
            <w:r>
              <w:t xml:space="preserve"> (101) </w:t>
            </w:r>
          </w:p>
          <w:p w:rsidR="00CB17B0" w:rsidRDefault="007B1B37">
            <w:pPr>
              <w:numPr>
                <w:ilvl w:val="0"/>
                <w:numId w:val="8"/>
              </w:numPr>
              <w:spacing w:after="0" w:line="259" w:lineRule="auto"/>
              <w:ind w:hanging="360"/>
            </w:pPr>
            <w:proofErr w:type="spellStart"/>
            <w:r>
              <w:t>Frenchpark</w:t>
            </w:r>
            <w:proofErr w:type="spellEnd"/>
            <w:r>
              <w:t xml:space="preserve"> (994) </w:t>
            </w:r>
          </w:p>
          <w:p w:rsidR="00CB17B0" w:rsidRDefault="007B1B37">
            <w:pPr>
              <w:numPr>
                <w:ilvl w:val="0"/>
                <w:numId w:val="8"/>
              </w:numPr>
              <w:spacing w:after="0" w:line="259" w:lineRule="auto"/>
              <w:ind w:hanging="360"/>
            </w:pPr>
            <w:proofErr w:type="spellStart"/>
            <w:r>
              <w:t>Kilcolagh</w:t>
            </w:r>
            <w:proofErr w:type="spellEnd"/>
            <w:r>
              <w:t xml:space="preserve"> (159) </w:t>
            </w:r>
          </w:p>
          <w:p w:rsidR="00CB17B0" w:rsidRDefault="007B1B37">
            <w:pPr>
              <w:numPr>
                <w:ilvl w:val="0"/>
                <w:numId w:val="8"/>
              </w:numPr>
              <w:spacing w:after="0" w:line="259" w:lineRule="auto"/>
              <w:ind w:hanging="360"/>
            </w:pPr>
            <w:proofErr w:type="spellStart"/>
            <w:r>
              <w:t>Kilmacumsy</w:t>
            </w:r>
            <w:proofErr w:type="spellEnd"/>
            <w:r>
              <w:t xml:space="preserve"> (316) </w:t>
            </w:r>
          </w:p>
          <w:p w:rsidR="00CB17B0" w:rsidRDefault="007B1B37">
            <w:pPr>
              <w:numPr>
                <w:ilvl w:val="0"/>
                <w:numId w:val="8"/>
              </w:numPr>
              <w:spacing w:after="0" w:line="259" w:lineRule="auto"/>
              <w:ind w:hanging="360"/>
            </w:pPr>
            <w:proofErr w:type="spellStart"/>
            <w:r>
              <w:t>Lisgarve</w:t>
            </w:r>
            <w:proofErr w:type="spellEnd"/>
            <w:r>
              <w:t xml:space="preserve"> / Mantua (217) </w:t>
            </w:r>
          </w:p>
          <w:p w:rsidR="00CB17B0" w:rsidRDefault="007B1B37">
            <w:pPr>
              <w:numPr>
                <w:ilvl w:val="0"/>
                <w:numId w:val="8"/>
              </w:numPr>
              <w:spacing w:after="0" w:line="259" w:lineRule="auto"/>
              <w:ind w:hanging="360"/>
            </w:pPr>
            <w:proofErr w:type="spellStart"/>
            <w:r>
              <w:t>Ogulla</w:t>
            </w:r>
            <w:proofErr w:type="spellEnd"/>
            <w:r>
              <w:t xml:space="preserve"> (403) </w:t>
            </w:r>
          </w:p>
          <w:p w:rsidR="00CB17B0" w:rsidRDefault="007B1B37">
            <w:pPr>
              <w:numPr>
                <w:ilvl w:val="0"/>
                <w:numId w:val="8"/>
              </w:numPr>
              <w:spacing w:after="0" w:line="259" w:lineRule="auto"/>
              <w:ind w:hanging="360"/>
            </w:pPr>
            <w:proofErr w:type="spellStart"/>
            <w:r>
              <w:t>Rushfield</w:t>
            </w:r>
            <w:proofErr w:type="spellEnd"/>
            <w:r>
              <w:t xml:space="preserve"> (399) </w:t>
            </w:r>
          </w:p>
          <w:p w:rsidR="00CB17B0" w:rsidRDefault="007B1B37">
            <w:pPr>
              <w:numPr>
                <w:ilvl w:val="0"/>
                <w:numId w:val="8"/>
              </w:numPr>
              <w:spacing w:after="0" w:line="259" w:lineRule="auto"/>
              <w:ind w:hanging="360"/>
            </w:pPr>
            <w:proofErr w:type="spellStart"/>
            <w:r>
              <w:t>Tivannagh</w:t>
            </w:r>
            <w:proofErr w:type="spellEnd"/>
            <w:r>
              <w:t xml:space="preserve"> (267) </w:t>
            </w:r>
          </w:p>
          <w:p w:rsidR="00CB17B0" w:rsidRDefault="007B1B37">
            <w:pPr>
              <w:numPr>
                <w:ilvl w:val="0"/>
                <w:numId w:val="8"/>
              </w:numPr>
              <w:spacing w:after="0" w:line="259" w:lineRule="auto"/>
              <w:ind w:hanging="360"/>
            </w:pPr>
            <w:proofErr w:type="spellStart"/>
            <w:r>
              <w:t>Tulsk</w:t>
            </w:r>
            <w:proofErr w:type="spellEnd"/>
            <w:r>
              <w:t xml:space="preserve"> (324)</w:t>
            </w:r>
            <w:r>
              <w:t xml:space="preserve">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3" w:firstLine="0"/>
              <w:jc w:val="right"/>
            </w:pPr>
            <w:r>
              <w:t xml:space="preserve">8,825 </w:t>
            </w:r>
          </w:p>
        </w:tc>
        <w:tc>
          <w:tcPr>
            <w:tcW w:w="109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both"/>
            </w:pPr>
            <w:r>
              <w:t xml:space="preserve">146,056 </w:t>
            </w:r>
          </w:p>
        </w:tc>
        <w:tc>
          <w:tcPr>
            <w:tcW w:w="1589"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right="62" w:firstLine="0"/>
              <w:jc w:val="right"/>
            </w:pPr>
            <w:r>
              <w:t xml:space="preserve">1:29,211 </w:t>
            </w:r>
          </w:p>
          <w:p w:rsidR="00CB17B0" w:rsidRDefault="007B1B37">
            <w:pPr>
              <w:spacing w:after="0" w:line="259" w:lineRule="auto"/>
              <w:ind w:left="494" w:hanging="90"/>
            </w:pPr>
            <w:r>
              <w:t xml:space="preserve">(-2.51% / +3.19%) </w:t>
            </w:r>
          </w:p>
        </w:tc>
      </w:tr>
      <w:tr w:rsidR="00CB17B0">
        <w:trPr>
          <w:trHeight w:val="336"/>
        </w:trPr>
        <w:tc>
          <w:tcPr>
            <w:tcW w:w="201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Connacht-East </w:t>
            </w:r>
          </w:p>
        </w:tc>
        <w:tc>
          <w:tcPr>
            <w:tcW w:w="439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Sligo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3" w:firstLine="0"/>
              <w:jc w:val="right"/>
            </w:pPr>
            <w:r>
              <w:t xml:space="preserve">69,819 </w:t>
            </w:r>
          </w:p>
        </w:tc>
        <w:tc>
          <w:tcPr>
            <w:tcW w:w="109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r w:rsidR="00CB17B0">
        <w:trPr>
          <w:trHeight w:val="341"/>
        </w:trPr>
        <w:tc>
          <w:tcPr>
            <w:tcW w:w="201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 </w:t>
            </w:r>
          </w:p>
        </w:tc>
        <w:tc>
          <w:tcPr>
            <w:tcW w:w="439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Leitrim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3" w:firstLine="0"/>
              <w:jc w:val="right"/>
            </w:pPr>
            <w:r>
              <w:t xml:space="preserve">35,087 </w:t>
            </w:r>
          </w:p>
        </w:tc>
        <w:tc>
          <w:tcPr>
            <w:tcW w:w="109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c>
          <w:tcPr>
            <w:tcW w:w="158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right"/>
            </w:pPr>
            <w:r>
              <w:t xml:space="preserve"> </w:t>
            </w:r>
          </w:p>
        </w:tc>
      </w:tr>
      <w:tr w:rsidR="00CB17B0">
        <w:trPr>
          <w:trHeight w:val="989"/>
        </w:trPr>
        <w:tc>
          <w:tcPr>
            <w:tcW w:w="2011"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 </w:t>
            </w:r>
          </w:p>
        </w:tc>
        <w:tc>
          <w:tcPr>
            <w:tcW w:w="4392"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4" w:firstLine="0"/>
            </w:pPr>
            <w:r>
              <w:t xml:space="preserve">Those parts of Roscommon not listed above </w:t>
            </w:r>
          </w:p>
        </w:tc>
        <w:tc>
          <w:tcPr>
            <w:tcW w:w="1104"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right="63" w:firstLine="0"/>
              <w:jc w:val="right"/>
            </w:pPr>
            <w:r>
              <w:t xml:space="preserve">43,633 </w:t>
            </w:r>
          </w:p>
        </w:tc>
        <w:tc>
          <w:tcPr>
            <w:tcW w:w="1099" w:type="dxa"/>
            <w:tcBorders>
              <w:top w:val="single" w:sz="4" w:space="0" w:color="000000"/>
              <w:left w:val="single" w:sz="4" w:space="0" w:color="000000"/>
              <w:bottom w:val="single" w:sz="4" w:space="0" w:color="000000"/>
              <w:right w:val="single" w:sz="4" w:space="0" w:color="000000"/>
            </w:tcBorders>
          </w:tcPr>
          <w:p w:rsidR="00CB17B0" w:rsidRDefault="007B1B37">
            <w:pPr>
              <w:spacing w:after="0" w:line="259" w:lineRule="auto"/>
              <w:ind w:left="0" w:firstLine="0"/>
              <w:jc w:val="both"/>
            </w:pPr>
            <w:r>
              <w:t xml:space="preserve">148,539 </w:t>
            </w:r>
          </w:p>
        </w:tc>
        <w:tc>
          <w:tcPr>
            <w:tcW w:w="1589" w:type="dxa"/>
            <w:tcBorders>
              <w:top w:val="single" w:sz="4" w:space="0" w:color="000000"/>
              <w:left w:val="single" w:sz="4" w:space="0" w:color="000000"/>
              <w:bottom w:val="single" w:sz="4" w:space="0" w:color="000000"/>
              <w:right w:val="single" w:sz="4" w:space="0" w:color="000000"/>
            </w:tcBorders>
          </w:tcPr>
          <w:p w:rsidR="00CB17B0" w:rsidRDefault="007B1B37">
            <w:pPr>
              <w:spacing w:after="10" w:line="259" w:lineRule="auto"/>
              <w:ind w:left="0" w:right="62" w:firstLine="0"/>
              <w:jc w:val="right"/>
            </w:pPr>
            <w:r>
              <w:t xml:space="preserve">1:29,707.8 </w:t>
            </w:r>
          </w:p>
          <w:p w:rsidR="00CB17B0" w:rsidRDefault="007B1B37">
            <w:pPr>
              <w:spacing w:after="0" w:line="259" w:lineRule="auto"/>
              <w:ind w:left="494" w:hanging="90"/>
            </w:pPr>
            <w:r>
              <w:t xml:space="preserve">(-0.85% / +4.95%) </w:t>
            </w:r>
          </w:p>
        </w:tc>
      </w:tr>
    </w:tbl>
    <w:p w:rsidR="00CB17B0" w:rsidRDefault="007B1B37" w:rsidP="007B1B37">
      <w:pPr>
        <w:spacing w:after="5931" w:line="259" w:lineRule="auto"/>
        <w:ind w:left="0" w:firstLine="0"/>
      </w:pPr>
      <w:r>
        <w:t xml:space="preserve">  </w:t>
      </w:r>
      <w:bookmarkStart w:id="0" w:name="_GoBack"/>
      <w:bookmarkEnd w:id="0"/>
      <w:r>
        <w:rPr>
          <w:b/>
          <w:i/>
        </w:rPr>
        <w:t xml:space="preserve"> </w:t>
      </w:r>
    </w:p>
    <w:sectPr w:rsidR="00CB17B0">
      <w:footerReference w:type="even" r:id="rId11"/>
      <w:footerReference w:type="default" r:id="rId12"/>
      <w:footerReference w:type="first" r:id="rId13"/>
      <w:pgSz w:w="11906" w:h="16838"/>
      <w:pgMar w:top="722" w:right="782" w:bottom="711"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B1B37">
      <w:pPr>
        <w:spacing w:after="0" w:line="240" w:lineRule="auto"/>
      </w:pPr>
      <w:r>
        <w:separator/>
      </w:r>
    </w:p>
  </w:endnote>
  <w:endnote w:type="continuationSeparator" w:id="0">
    <w:p w:rsidR="00000000" w:rsidRDefault="007B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B0" w:rsidRDefault="007B1B37">
    <w:pPr>
      <w:tabs>
        <w:tab w:val="right" w:pos="9070"/>
      </w:tabs>
      <w:spacing w:after="0" w:line="259" w:lineRule="auto"/>
      <w:ind w:left="0" w:right="-2" w:firstLine="0"/>
    </w:pPr>
    <w:r>
      <w:t xml:space="preserve"> </w:t>
    </w:r>
    <w:r>
      <w:tab/>
    </w:r>
    <w:r>
      <w:fldChar w:fldCharType="begin"/>
    </w:r>
    <w:r>
      <w:instrText xml:space="preserve"> PAGE   \* MERGEFORMAT </w:instrText>
    </w:r>
    <w:r>
      <w:fldChar w:fldCharType="separate"/>
    </w:r>
    <w:r>
      <w:rPr>
        <w:b/>
        <w:i/>
      </w:rPr>
      <w:t>2</w:t>
    </w:r>
    <w:r>
      <w:rPr>
        <w:b/>
        <w:i/>
      </w:rPr>
      <w:fldChar w:fldCharType="end"/>
    </w:r>
    <w:r>
      <w:rPr>
        <w:b/>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B0" w:rsidRDefault="007B1B37">
    <w:pPr>
      <w:tabs>
        <w:tab w:val="right" w:pos="9070"/>
      </w:tabs>
      <w:spacing w:after="0" w:line="259" w:lineRule="auto"/>
      <w:ind w:left="0" w:right="-2" w:firstLine="0"/>
    </w:pPr>
    <w:r>
      <w:t xml:space="preserve"> </w:t>
    </w:r>
    <w:r>
      <w:tab/>
    </w:r>
    <w:r>
      <w:fldChar w:fldCharType="begin"/>
    </w:r>
    <w:r>
      <w:instrText xml:space="preserve"> PAGE   \* MERGEFORMAT </w:instrText>
    </w:r>
    <w:r>
      <w:fldChar w:fldCharType="separate"/>
    </w:r>
    <w:r w:rsidRPr="007B1B37">
      <w:rPr>
        <w:b/>
        <w:i/>
        <w:noProof/>
      </w:rPr>
      <w:t>5</w:t>
    </w:r>
    <w:r>
      <w:rPr>
        <w:b/>
        <w:i/>
      </w:rPr>
      <w:fldChar w:fldCharType="end"/>
    </w:r>
    <w:r>
      <w:rPr>
        <w:b/>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B0" w:rsidRDefault="00CB17B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B0" w:rsidRDefault="00CB17B0">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B0" w:rsidRDefault="00CB17B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7B0" w:rsidRDefault="00CB17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7B0" w:rsidRDefault="007B1B37">
      <w:pPr>
        <w:spacing w:after="0" w:line="285" w:lineRule="auto"/>
        <w:ind w:left="0" w:firstLine="0"/>
      </w:pPr>
      <w:r>
        <w:separator/>
      </w:r>
    </w:p>
  </w:footnote>
  <w:footnote w:type="continuationSeparator" w:id="0">
    <w:p w:rsidR="00CB17B0" w:rsidRDefault="007B1B37">
      <w:pPr>
        <w:spacing w:after="0" w:line="285" w:lineRule="auto"/>
        <w:ind w:left="0" w:firstLine="0"/>
      </w:pPr>
      <w:r>
        <w:continuationSeparator/>
      </w:r>
    </w:p>
  </w:footnote>
  <w:footnote w:id="1">
    <w:p w:rsidR="00CB17B0" w:rsidRDefault="007B1B37">
      <w:pPr>
        <w:pStyle w:val="footnotedescription"/>
        <w:spacing w:line="285" w:lineRule="auto"/>
      </w:pPr>
      <w:r>
        <w:rPr>
          <w:rStyle w:val="footnotemark"/>
        </w:rPr>
        <w:footnoteRef/>
      </w:r>
      <w:r>
        <w:t xml:space="preserve"> </w:t>
      </w:r>
      <w:r>
        <w:t>The figures used for population and total number of seats are used for illustration only, but the conclusions about di</w:t>
      </w:r>
      <w:r>
        <w:t>ff</w:t>
      </w:r>
      <w:r>
        <w:t xml:space="preserve">erences in quotas and proportionality will apply for any chosen </w:t>
      </w:r>
      <w:proofErr w:type="gramStart"/>
      <w:r>
        <w:t>population..</w:t>
      </w:r>
      <w:proofErr w:type="gramEnd"/>
      <w:r>
        <w:t xml:space="preserve"> </w:t>
      </w:r>
    </w:p>
  </w:footnote>
  <w:footnote w:id="2">
    <w:p w:rsidR="00CB17B0" w:rsidRDefault="007B1B37">
      <w:pPr>
        <w:pStyle w:val="footnotedescription"/>
      </w:pPr>
      <w:r>
        <w:rPr>
          <w:rStyle w:val="footnotemark"/>
        </w:rPr>
        <w:footnoteRef/>
      </w:r>
      <w:r>
        <w:t xml:space="preserve"> As noted above, Article 16.2.3 requires that the distrib</w:t>
      </w:r>
      <w:r>
        <w:t xml:space="preserve">ution of seats between constituencies be based on the preceding census. Thus, the analysis provided here is based on census results, without prejudice to our argument that other sources should be used in assessing the appropriate number of seats. </w:t>
      </w:r>
    </w:p>
  </w:footnote>
  <w:footnote w:id="3">
    <w:p w:rsidR="00CB17B0" w:rsidRDefault="007B1B37">
      <w:pPr>
        <w:pStyle w:val="footnotedescription"/>
        <w:spacing w:line="257" w:lineRule="auto"/>
      </w:pPr>
      <w:r>
        <w:rPr>
          <w:rStyle w:val="footnotemark"/>
        </w:rPr>
        <w:footnoteRef/>
      </w:r>
      <w:r>
        <w:t xml:space="preserve"> </w:t>
      </w:r>
      <w:r>
        <w:rPr>
          <w:i w:val="0"/>
        </w:rPr>
        <w:t>Two fi</w:t>
      </w:r>
      <w:r>
        <w:rPr>
          <w:i w:val="0"/>
        </w:rPr>
        <w:t xml:space="preserve">gures for the total number of seats (171 and 181) are used to show the possible range of </w:t>
      </w:r>
      <w:proofErr w:type="spellStart"/>
      <w:r>
        <w:rPr>
          <w:i w:val="0"/>
        </w:rPr>
        <w:t>varia</w:t>
      </w:r>
      <w:proofErr w:type="spellEnd"/>
      <w:r>
        <w:rPr>
          <w:i w:val="0"/>
        </w:rPr>
        <w:t xml:space="preserve">&lt;on from the </w:t>
      </w:r>
      <w:proofErr w:type="spellStart"/>
      <w:r>
        <w:rPr>
          <w:i w:val="0"/>
        </w:rPr>
        <w:t>na</w:t>
      </w:r>
      <w:proofErr w:type="spellEnd"/>
      <w:r>
        <w:rPr>
          <w:i w:val="0"/>
        </w:rPr>
        <w:t>&lt;</w:t>
      </w:r>
      <w:proofErr w:type="spellStart"/>
      <w:r>
        <w:rPr>
          <w:i w:val="0"/>
        </w:rPr>
        <w:t>onal</w:t>
      </w:r>
      <w:proofErr w:type="spellEnd"/>
      <w:r>
        <w:rPr>
          <w:i w:val="0"/>
        </w:rPr>
        <w:t xml:space="preserve"> figure, if the number of seats in Connacht stays </w:t>
      </w:r>
      <w:proofErr w:type="spellStart"/>
      <w:r>
        <w:rPr>
          <w:i w:val="0"/>
        </w:rPr>
        <w:t>sta</w:t>
      </w:r>
      <w:proofErr w:type="spellEnd"/>
      <w:r>
        <w:rPr>
          <w:i w:val="0"/>
        </w:rPr>
        <w:t xml:space="preserve">&lt;c at 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FF5"/>
    <w:multiLevelType w:val="hybridMultilevel"/>
    <w:tmpl w:val="ED1CE608"/>
    <w:lvl w:ilvl="0" w:tplc="512A3ED0">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02BD8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DADB4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C60C9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8A188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4C383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C359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442C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46EE1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05745D"/>
    <w:multiLevelType w:val="hybridMultilevel"/>
    <w:tmpl w:val="B6706212"/>
    <w:lvl w:ilvl="0" w:tplc="E60ACA02">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0885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B460F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5E55B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28AB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662C4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A686B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4BB6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C6D38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917296"/>
    <w:multiLevelType w:val="hybridMultilevel"/>
    <w:tmpl w:val="52D07328"/>
    <w:lvl w:ilvl="0" w:tplc="2C9A8D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D4D86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3EF5E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5AE58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0287D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B21BF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61E1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0B07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2C705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1D68B3"/>
    <w:multiLevelType w:val="hybridMultilevel"/>
    <w:tmpl w:val="AC26D3EA"/>
    <w:lvl w:ilvl="0" w:tplc="6820F1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C4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071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4AEC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F0E7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92F9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E2E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CE79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4AC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574F06"/>
    <w:multiLevelType w:val="hybridMultilevel"/>
    <w:tmpl w:val="9E6E5320"/>
    <w:lvl w:ilvl="0" w:tplc="875A1A98">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2E97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04E3E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B6B63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CA34C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4059F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6AC67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413E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885F3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1A5B62"/>
    <w:multiLevelType w:val="hybridMultilevel"/>
    <w:tmpl w:val="23CCC898"/>
    <w:lvl w:ilvl="0" w:tplc="207C8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4F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7CF2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52CB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F4EF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5EFB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E3F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4A0F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6A33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BD6A3A"/>
    <w:multiLevelType w:val="hybridMultilevel"/>
    <w:tmpl w:val="EFDA239A"/>
    <w:lvl w:ilvl="0" w:tplc="57E454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A8FB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0E53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E43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630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EEDA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404A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E9B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C8DB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234650"/>
    <w:multiLevelType w:val="hybridMultilevel"/>
    <w:tmpl w:val="45E02A80"/>
    <w:lvl w:ilvl="0" w:tplc="D85489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1436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EAB2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346D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E47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44E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49E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C4A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763E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7"/>
  </w:num>
  <w:num w:numId="4">
    <w:abstractNumId w:val="5"/>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B0"/>
    <w:rsid w:val="0031625C"/>
    <w:rsid w:val="007B1B37"/>
    <w:rsid w:val="00CB1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5804"/>
  <w15:docId w15:val="{E7F7AAF5-45E7-464A-8726-DB60548D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1"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36"/>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customStyle="1" w:styleId="footnotedescription">
    <w:name w:val="footnote description"/>
    <w:next w:val="Normal"/>
    <w:link w:val="footnotedescriptionChar"/>
    <w:hidden/>
    <w:pPr>
      <w:spacing w:after="0" w:line="276" w:lineRule="auto"/>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footnotemark">
    <w:name w:val="footnote mark"/>
    <w:hidden/>
    <w:rPr>
      <w:rFonts w:ascii="Calibri" w:eastAsia="Calibri" w:hAnsi="Calibri" w:cs="Calibri"/>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1593</Words>
  <Characters>9086</Characters>
  <Application>Microsoft Office Word</Application>
  <DocSecurity>0</DocSecurity>
  <Lines>75</Lines>
  <Paragraphs>21</Paragraphs>
  <ScaleCrop>false</ScaleCrop>
  <Company>PER</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Constituency boundary proposal 2023</dc:title>
  <dc:subject/>
  <dc:creator>Dr Andrew Ó Baoill</dc:creator>
  <cp:keywords/>
  <cp:lastModifiedBy>Emma O’Donoghue (ELC)</cp:lastModifiedBy>
  <cp:revision>3</cp:revision>
  <dcterms:created xsi:type="dcterms:W3CDTF">2023-05-12T15:32:00Z</dcterms:created>
  <dcterms:modified xsi:type="dcterms:W3CDTF">2023-05-12T15:33:00Z</dcterms:modified>
</cp:coreProperties>
</file>