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90"/>
        <w:ind w:left="1135"/>
      </w:pPr>
      <w:r>
        <w:pict>
          <v:shape style="width:364.5pt;height:75pt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44"/>
          <w:szCs w:val="44"/>
        </w:rPr>
        <w:jc w:val="left"/>
        <w:spacing w:line="500" w:lineRule="exact"/>
        <w:ind w:left="3180"/>
      </w:pPr>
      <w:r>
        <w:rPr>
          <w:rFonts w:ascii="Calibri" w:cs="Calibri" w:eastAsia="Calibri" w:hAnsi="Calibri"/>
          <w:b/>
          <w:color w:val="0000FF"/>
          <w:position w:val="1"/>
          <w:sz w:val="44"/>
          <w:szCs w:val="44"/>
        </w:rPr>
      </w:r>
      <w:r>
        <w:rPr>
          <w:rFonts w:ascii="Calibri" w:cs="Calibri" w:eastAsia="Calibri" w:hAnsi="Calibri"/>
          <w:b/>
          <w:color w:val="0000FF"/>
          <w:spacing w:val="3"/>
          <w:position w:val="1"/>
          <w:sz w:val="44"/>
          <w:szCs w:val="44"/>
          <w:u w:color="0000FF" w:val="thick"/>
        </w:rPr>
        <w:t> </w:t>
      </w:r>
      <w:r>
        <w:rPr>
          <w:rFonts w:ascii="Calibri" w:cs="Calibri" w:eastAsia="Calibri" w:hAnsi="Calibri"/>
          <w:b/>
          <w:color w:val="0000FF"/>
          <w:spacing w:val="3"/>
          <w:position w:val="1"/>
          <w:sz w:val="44"/>
          <w:szCs w:val="44"/>
          <w:u w:color="0000FF" w:val="thick"/>
        </w:rPr>
      </w:r>
      <w:hyperlink r:id="rId5"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w</w:t>
        </w:r>
        <w:r>
          <w:rPr>
            <w:rFonts w:ascii="Calibri" w:cs="Calibri" w:eastAsia="Calibri" w:hAnsi="Calibri"/>
            <w:b/>
            <w:color w:val="0000FF"/>
            <w:spacing w:val="3"/>
            <w:w w:val="100"/>
            <w:position w:val="1"/>
            <w:sz w:val="44"/>
            <w:szCs w:val="44"/>
            <w:u w:color="0000FF" w:val="thick"/>
          </w:rPr>
          <w:t> 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w</w:t>
        </w:r>
        <w:r>
          <w:rPr>
            <w:rFonts w:ascii="Calibri" w:cs="Calibri" w:eastAsia="Calibri" w:hAnsi="Calibri"/>
            <w:b/>
            <w:color w:val="0000FF"/>
            <w:spacing w:val="3"/>
            <w:w w:val="100"/>
            <w:position w:val="1"/>
            <w:sz w:val="44"/>
            <w:szCs w:val="44"/>
            <w:u w:color="0000FF" w:val="thick"/>
          </w:rPr>
          <w:t> </w:t>
        </w:r>
        <w:r>
          <w:rPr>
            <w:rFonts w:ascii="Calibri" w:cs="Calibri" w:eastAsia="Calibri" w:hAnsi="Calibri"/>
            <w:b/>
            <w:color w:val="0000FF"/>
            <w:spacing w:val="-26"/>
            <w:w w:val="100"/>
            <w:position w:val="1"/>
            <w:sz w:val="44"/>
            <w:szCs w:val="44"/>
            <w:u w:color="0000FF" w:val="thick"/>
          </w:rPr>
          <w:t>w</w:t>
        </w:r>
        <w:r>
          <w:rPr>
            <w:rFonts w:ascii="Calibri" w:cs="Calibri" w:eastAsia="Calibri" w:hAnsi="Calibri"/>
            <w:b/>
            <w:color w:val="0000FF"/>
            <w:spacing w:val="-26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-29"/>
            <w:w w:val="100"/>
            <w:position w:val="1"/>
            <w:sz w:val="44"/>
            <w:szCs w:val="44"/>
            <w:u w:color="0000FF" w:val="thick"/>
          </w:rPr>
          <w:t>.</w:t>
        </w:r>
        <w:r>
          <w:rPr>
            <w:rFonts w:ascii="Calibri" w:cs="Calibri" w:eastAsia="Calibri" w:hAnsi="Calibri"/>
            <w:b/>
            <w:color w:val="0000FF"/>
            <w:spacing w:val="-29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-20"/>
            <w:w w:val="100"/>
            <w:position w:val="1"/>
            <w:sz w:val="44"/>
            <w:szCs w:val="44"/>
            <w:u w:color="0000FF" w:val="thick"/>
          </w:rPr>
          <w:t>V</w:t>
        </w:r>
        <w:r>
          <w:rPr>
            <w:rFonts w:ascii="Calibri" w:cs="Calibri" w:eastAsia="Calibri" w:hAnsi="Calibri"/>
            <w:b/>
            <w:color w:val="0000FF"/>
            <w:spacing w:val="-2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o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t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i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n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g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R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i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g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-4"/>
            <w:w w:val="100"/>
            <w:position w:val="1"/>
            <w:sz w:val="44"/>
            <w:szCs w:val="44"/>
            <w:u w:color="0000FF" w:val="thick"/>
          </w:rPr>
          <w:t>h</w:t>
        </w:r>
        <w:r>
          <w:rPr>
            <w:rFonts w:ascii="Calibri" w:cs="Calibri" w:eastAsia="Calibri" w:hAnsi="Calibri"/>
            <w:b/>
            <w:color w:val="0000FF"/>
            <w:spacing w:val="-4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t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s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.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i</w:t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</w:r>
        <w:r>
          <w:rPr>
            <w:rFonts w:ascii="Calibri" w:cs="Calibri" w:eastAsia="Calibri" w:hAnsi="Calibri"/>
            <w:b/>
            <w:color w:val="0000FF"/>
            <w:spacing w:val="0"/>
            <w:w w:val="100"/>
            <w:position w:val="1"/>
            <w:sz w:val="44"/>
            <w:szCs w:val="44"/>
            <w:u w:color="0000FF" w:val="thick"/>
          </w:rPr>
          <w:t>e</w:t>
        </w:r>
      </w:hyperlink>
      <w:r>
        <w:rPr>
          <w:rFonts w:ascii="Calibri" w:cs="Calibri" w:eastAsia="Calibri" w:hAnsi="Calibri"/>
          <w:b/>
          <w:color w:val="0000FF"/>
          <w:spacing w:val="0"/>
          <w:w w:val="100"/>
          <w:position w:val="1"/>
          <w:sz w:val="44"/>
          <w:szCs w:val="44"/>
        </w:rPr>
      </w:r>
      <w:r>
        <w:rPr>
          <w:rFonts w:ascii="Calibri" w:cs="Calibri" w:eastAsia="Calibri" w:hAnsi="Calibri"/>
          <w:color w:val="000000"/>
          <w:spacing w:val="0"/>
          <w:w w:val="100"/>
          <w:position w:val="0"/>
          <w:sz w:val="44"/>
          <w:szCs w:val="4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right"/>
        <w:spacing w:before="29" w:line="260" w:lineRule="exact"/>
        <w:ind w:right="701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January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10,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2024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100"/>
      </w:pP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Electoral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Commission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Fr: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Rights.ie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Suggested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Projects</w:t>
      </w:r>
    </w:p>
    <w:p>
      <w:pPr>
        <w:rPr>
          <w:sz w:val="24"/>
          <w:szCs w:val="24"/>
        </w:rPr>
        <w:jc w:val="left"/>
        <w:spacing w:before="1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 w:right="88"/>
      </w:pP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spent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last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decade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coming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terms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past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during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Decade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Centennials.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timing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seems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chart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new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course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21st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century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must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include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protecting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democracy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expanding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rights.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increasing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rise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autocracy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Europe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around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world,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expansion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franchise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sure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way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make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color w:val="212121"/>
          <w:spacing w:val="-13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democracy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safer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challenging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times.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 w:right="406"/>
      </w:pPr>
      <w:r>
        <w:rPr>
          <w:rFonts w:ascii="Times New Roman" w:cs="Times New Roman" w:eastAsia="Times New Roman" w:hAnsi="Times New Roman"/>
          <w:color w:val="212121"/>
          <w:spacing w:val="-19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understand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Commission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already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included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extension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postal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residency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part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agenda.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-19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suggest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Commission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research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following: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76" w:lineRule="auto"/>
        <w:ind w:hanging="360" w:left="820" w:right="59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steps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adjust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remove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current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temporarily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abroad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18-month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rule)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established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sixty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years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ago.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2018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" w:line="276" w:lineRule="auto"/>
        <w:ind w:left="820" w:right="6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Assembly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“The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Manner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Referenda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Held”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recommended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expansion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years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limits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removed,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current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18-month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problematic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ignoring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reality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outside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temporaril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work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visas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student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programs.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howeve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limits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outdated,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impossible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enforce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violates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E.U.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principle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freedom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movement.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"/>
        <w:ind w:hanging="360" w:left="820" w:right="201"/>
        <w:sectPr>
          <w:pgSz w:h="15840" w:w="12240"/>
          <w:pgMar w:bottom="280" w:left="1340" w:right="1400" w:top="138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color w:val="212121"/>
          <w:spacing w:val="-13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electoral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system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most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restrictive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Europe,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denying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temporarily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living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outside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local,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national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E.U.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Parliamentary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elections;we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violates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EU</w:t>
      </w:r>
      <w:r>
        <w:rPr>
          <w:rFonts w:ascii="Times New Roman" w:cs="Times New Roman" w:eastAsia="Times New Roman" w:hAnsi="Times New Roman"/>
          <w:color w:val="000000"/>
          <w:spacing w:val="-13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core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principle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freedom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movement.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cannot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claim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very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heart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European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experience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violate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core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principle.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0" w:line="276" w:lineRule="auto"/>
        <w:ind w:hanging="360" w:left="820" w:right="20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Clarify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specific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Constitutional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meaning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ordinary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habitual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residence,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ferent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metric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purposes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taxation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welfare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eligibility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" w:line="276" w:lineRule="auto"/>
        <w:ind w:hanging="360" w:left="820" w:right="21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concrete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steps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expand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postal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government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remove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restrictions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Seanad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Seanad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candidates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Manning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Report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decision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Supreme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Court?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tabs>
          <w:tab w:pos="840" w:val="left"/>
        </w:tabs>
        <w:jc w:val="left"/>
        <w:spacing w:before="1" w:line="276" w:lineRule="auto"/>
        <w:ind w:hanging="360" w:left="820" w:right="20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5.</w:t>
        <w:tab/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steps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taken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polling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other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local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polling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given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work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away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hometowns?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" w:line="276" w:lineRule="auto"/>
        <w:ind w:hanging="360" w:left="820" w:right="12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enhance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electoral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system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increase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opportunity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early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automatic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registration.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Early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postal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particularly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helpful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elderly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disabilities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established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record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early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postal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increased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turnout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" w:line="276" w:lineRule="auto"/>
        <w:ind w:hanging="360" w:left="820" w:right="31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done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make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weekend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norm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general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elections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increase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participation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make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easier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living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outside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return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vote?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tabs>
          <w:tab w:pos="840" w:val="left"/>
        </w:tabs>
        <w:jc w:val="left"/>
        <w:spacing w:before="1" w:line="276" w:lineRule="auto"/>
        <w:ind w:hanging="360" w:left="820" w:right="7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8.</w:t>
        <w:tab/>
        <w:tab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education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campaign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“otherness”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defines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look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fellow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Northern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living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"/>
        <w:ind w:left="82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outside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state.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 w:right="11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According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IDEA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global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democracy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report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(Januar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2021)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total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states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territories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people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living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abroad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participate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legislative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elections,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88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participation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presidential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elections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countries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territories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allow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overseas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participate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referendums.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them.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sharp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contrast,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election,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600,000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emigrants,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living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waited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hours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long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queues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save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democrac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immune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growing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threat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autocracy;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threat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likely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come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within,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overseas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citizen.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 w:right="302"/>
      </w:pP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believe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unstated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hierarchy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Irish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political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culture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defines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Irish-born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living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abroad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over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Border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second-class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citizens.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current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electoral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system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rigidly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enforces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second-class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status,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leave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return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within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eighteen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months,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losing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day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depart.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 w:right="8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requirement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must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outdated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policy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demeans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proud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Derry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Belfast.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Nationalists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North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were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abandoned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decades,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yet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one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hundred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years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after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Partition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there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Northern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-3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oices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Seanad.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Disenfranchising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voters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basis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residence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both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exclusionary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extraordinary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this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modern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era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mobility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when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so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Irish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live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abroad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few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years.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 w:right="178"/>
        <w:sectPr>
          <w:pgSz w:h="15840" w:w="12240"/>
          <w:pgMar w:bottom="280" w:left="1340" w:right="1340" w:top="138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always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emigrants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emigration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vastly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changed.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many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temporar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abroad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avid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readers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news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sources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vast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range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modern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technologies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back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instantl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hundreds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thousands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people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left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years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those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leave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0"/>
        <w:ind w:left="100" w:right="16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immense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source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creativit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ideas.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importance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emigrants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vividly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demonstrated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#Home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movements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marriage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equality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repeal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amendment.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 w:right="30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economic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social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impact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living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abroad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remains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immense.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prosperous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today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sustained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help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overseas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soft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power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political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power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assistance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again,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well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over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175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years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from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Famine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years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recently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helping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prevent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hard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border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result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Brexit.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 w:right="24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next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decade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momentous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including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possibility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preparing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United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Ireland.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7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aking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challenge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expanding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franchise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create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modern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democrac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suitable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21st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centur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precondition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these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momentous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times.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9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hope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consider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suggestions.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0" w:right="6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Commission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learn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more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about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ganization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FF"/>
          <w:spacing w:val="0"/>
          <w:w w:val="100"/>
          <w:sz w:val="24"/>
          <w:szCs w:val="24"/>
        </w:rPr>
      </w:r>
      <w:hyperlink r:id="rId6"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thick"/>
          </w:rPr>
          <w:t>ww</w:t>
        </w:r>
        <w:r>
          <w:rPr>
            <w:rFonts w:ascii="Times New Roman" w:cs="Times New Roman" w:eastAsia="Times New Roman" w:hAnsi="Times New Roman"/>
            <w:color w:val="0000FF"/>
            <w:spacing w:val="-16"/>
            <w:w w:val="100"/>
            <w:sz w:val="24"/>
            <w:szCs w:val="24"/>
            <w:u w:color="0000FF" w:val="thick"/>
          </w:rPr>
          <w:t>w</w:t>
        </w:r>
        <w:r>
          <w:rPr>
            <w:rFonts w:ascii="Times New Roman" w:cs="Times New Roman" w:eastAsia="Times New Roman" w:hAnsi="Times New Roman"/>
            <w:color w:val="0000FF"/>
            <w:spacing w:val="-16"/>
            <w:w w:val="100"/>
            <w:sz w:val="24"/>
            <w:szCs w:val="24"/>
            <w:u w:color="0000FF" w:val="thick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thick"/>
          </w:rPr>
          <w:t>.votingrights.ie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thick"/>
          </w:rPr>
          <w:t> </w:t>
        </w:r>
      </w:hyperlink>
      <w:r>
        <w:rPr>
          <w:rFonts w:ascii="Times New Roman" w:cs="Times New Roman" w:eastAsia="Times New Roman" w:hAnsi="Times New Roman"/>
          <w:color w:val="0000FF"/>
          <w:spacing w:val="0"/>
          <w:w w:val="100"/>
          <w:sz w:val="24"/>
          <w:szCs w:val="24"/>
          <w:u w:color="0000FF" w:val="thick"/>
        </w:rPr>
      </w:r>
      <w:r>
        <w:rPr>
          <w:rFonts w:ascii="Times New Roman" w:cs="Times New Roman" w:eastAsia="Times New Roman" w:hAnsi="Times New Roman"/>
          <w:color w:val="0000FF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also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link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series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essays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issue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voting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rights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FF"/>
          <w:spacing w:val="0"/>
          <w:w w:val="100"/>
          <w:sz w:val="24"/>
          <w:szCs w:val="24"/>
        </w:rPr>
      </w:r>
      <w:hyperlink r:id="rId7"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thick"/>
          </w:rPr>
          <w:t>h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thick"/>
          </w:rPr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thick"/>
          </w:rPr>
          <w:t>ttps://citizenshippapers.ie/</w:t>
        </w:r>
        <w:r>
          <w:rPr>
            <w:rFonts w:ascii="Times New Roman" w:cs="Times New Roman" w:eastAsia="Times New Roman" w:hAnsi="Times New Roman"/>
            <w:color w:val="0000FF"/>
            <w:spacing w:val="0"/>
            <w:w w:val="100"/>
            <w:sz w:val="24"/>
            <w:szCs w:val="24"/>
            <w:u w:color="0000FF" w:val="thick"/>
          </w:rPr>
          <w:t> </w:t>
        </w:r>
      </w:hyperlink>
      <w:r>
        <w:rPr>
          <w:rFonts w:ascii="Times New Roman" w:cs="Times New Roman" w:eastAsia="Times New Roman" w:hAnsi="Times New Roman"/>
          <w:color w:val="0000FF"/>
          <w:spacing w:val="0"/>
          <w:w w:val="100"/>
          <w:sz w:val="24"/>
          <w:szCs w:val="24"/>
          <w:u w:color="0000FF" w:val="thick"/>
        </w:rPr>
      </w:r>
      <w:r>
        <w:rPr>
          <w:rFonts w:ascii="Times New Roman" w:cs="Times New Roman" w:eastAsia="Times New Roman" w:hAnsi="Times New Roman"/>
          <w:color w:val="0000FF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which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amplifies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our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belief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that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citizens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living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just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over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Border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overseas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have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demonstrated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their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loyalty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nation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again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again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should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granted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right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  <w:t>vote.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482" w:right="382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##################</w:t>
      </w:r>
    </w:p>
    <w:sectPr>
      <w:pgSz w:h="15840" w:w="12240"/>
      <w:pgMar w:bottom="280" w:left="1340" w:right="1360" w:top="13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http://www.votingrights.ie" TargetMode="External" Type="http://schemas.openxmlformats.org/officeDocument/2006/relationships/hyperlink"/><Relationship Id="rId6" Target="http://www.votingrights.ie" TargetMode="External" Type="http://schemas.openxmlformats.org/officeDocument/2006/relationships/hyperlink"/><Relationship Id="rId7" Target="https://citizenshippapers.ie/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