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2F5981E1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in the </w:t>
      </w:r>
      <w:r w:rsidR="008F270D">
        <w:rPr>
          <w:rFonts w:ascii="Georgia" w:hAnsi="Georgia"/>
          <w:b/>
          <w:color w:val="002060"/>
          <w:sz w:val="24"/>
          <w:szCs w:val="24"/>
        </w:rPr>
        <w:t>ACT Boardroom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 w:rsidR="00015A98">
        <w:rPr>
          <w:rFonts w:ascii="Georgia" w:hAnsi="Georgia"/>
          <w:b/>
          <w:color w:val="002060"/>
          <w:sz w:val="24"/>
          <w:szCs w:val="24"/>
        </w:rPr>
        <w:t>Dublin Castle, 10</w:t>
      </w:r>
      <w:r w:rsidR="008F270D">
        <w:rPr>
          <w:rFonts w:ascii="Georgia" w:hAnsi="Georgia"/>
          <w:b/>
          <w:color w:val="002060"/>
          <w:sz w:val="24"/>
          <w:szCs w:val="24"/>
        </w:rPr>
        <w:t>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D30DA1">
        <w:rPr>
          <w:rFonts w:ascii="Georgia" w:hAnsi="Georgia"/>
          <w:b/>
          <w:color w:val="002060"/>
          <w:sz w:val="24"/>
          <w:szCs w:val="24"/>
        </w:rPr>
        <w:t>10</w:t>
      </w:r>
      <w:r w:rsidR="00D30DA1" w:rsidRPr="00D30DA1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D30DA1">
        <w:rPr>
          <w:rFonts w:ascii="Georgia" w:hAnsi="Georgia"/>
          <w:b/>
          <w:color w:val="002060"/>
          <w:sz w:val="24"/>
          <w:szCs w:val="24"/>
        </w:rPr>
        <w:t xml:space="preserve"> April</w:t>
      </w:r>
      <w:r w:rsidR="008F270D">
        <w:rPr>
          <w:rFonts w:ascii="Georgia" w:hAnsi="Georgia"/>
          <w:b/>
          <w:color w:val="002060"/>
          <w:sz w:val="24"/>
          <w:szCs w:val="24"/>
        </w:rPr>
        <w:t xml:space="preserve">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D30DA1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30DA1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D30DA1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54AA2608" w:rsidR="002459BA" w:rsidRPr="00D30DA1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30DA1">
        <w:rPr>
          <w:rFonts w:ascii="Georgia" w:hAnsi="Georgia"/>
          <w:color w:val="002060"/>
          <w:sz w:val="24"/>
          <w:szCs w:val="24"/>
        </w:rPr>
        <w:t>Justice Marie Baker (Chairperson), Maura Quinn(MQ)</w:t>
      </w:r>
      <w:r w:rsidR="001C4C9F" w:rsidRPr="00D30DA1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D30DA1">
        <w:rPr>
          <w:rFonts w:ascii="Georgia" w:hAnsi="Georgia"/>
          <w:color w:val="002060"/>
          <w:sz w:val="24"/>
          <w:szCs w:val="24"/>
        </w:rPr>
        <w:t>Alex Attwood (AA), John</w:t>
      </w:r>
      <w:r w:rsidR="00D30DA1" w:rsidRPr="00D30DA1">
        <w:rPr>
          <w:rFonts w:ascii="Georgia" w:hAnsi="Georgia"/>
          <w:color w:val="002060"/>
          <w:sz w:val="24"/>
          <w:szCs w:val="24"/>
        </w:rPr>
        <w:t xml:space="preserve"> Curran (JC), Ger Deering (GD) and Caroline Fennell (C</w:t>
      </w:r>
      <w:r w:rsidR="008F270D" w:rsidRPr="00D30DA1">
        <w:rPr>
          <w:rFonts w:ascii="Georgia" w:hAnsi="Georgia"/>
          <w:color w:val="002060"/>
          <w:sz w:val="24"/>
          <w:szCs w:val="24"/>
        </w:rPr>
        <w:t>F)</w:t>
      </w:r>
      <w:r w:rsidR="00015A98" w:rsidRPr="00D30DA1">
        <w:rPr>
          <w:rFonts w:ascii="Georgia" w:hAnsi="Georgia"/>
          <w:color w:val="002060"/>
          <w:sz w:val="24"/>
          <w:szCs w:val="24"/>
        </w:rPr>
        <w:t>.</w:t>
      </w:r>
    </w:p>
    <w:p w14:paraId="4B4F2BA9" w14:textId="320DF8DE" w:rsidR="002459BA" w:rsidRPr="00D30DA1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B2AED1A" w14:textId="6457AF67" w:rsidR="00015A98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30DA1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D30DA1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2B6DE3" w:rsidRPr="00D30DA1">
        <w:rPr>
          <w:rFonts w:ascii="Georgia" w:hAnsi="Georgia"/>
          <w:color w:val="002060"/>
          <w:sz w:val="24"/>
          <w:szCs w:val="24"/>
        </w:rPr>
        <w:t>Mary Clare O’Sullivan (MCOS), Karen Kehily (KK)</w:t>
      </w:r>
      <w:r w:rsidR="00D24E5D" w:rsidRPr="00D30DA1">
        <w:rPr>
          <w:rFonts w:ascii="Georgia" w:hAnsi="Georgia"/>
          <w:color w:val="002060"/>
          <w:sz w:val="24"/>
          <w:szCs w:val="24"/>
        </w:rPr>
        <w:t xml:space="preserve">, </w:t>
      </w:r>
      <w:r w:rsidR="00D30DA1" w:rsidRPr="00D30DA1">
        <w:rPr>
          <w:rFonts w:ascii="Georgia" w:hAnsi="Georgia"/>
          <w:color w:val="002060"/>
          <w:sz w:val="24"/>
          <w:szCs w:val="24"/>
        </w:rPr>
        <w:t>Tim Carey* (TC), Brian Dawson (BD), Annmarie Power (AMP)</w:t>
      </w:r>
      <w:r w:rsidR="00D30DA1">
        <w:rPr>
          <w:rFonts w:ascii="Georgia" w:hAnsi="Georgia"/>
          <w:color w:val="002060"/>
          <w:sz w:val="24"/>
          <w:szCs w:val="24"/>
        </w:rPr>
        <w:t xml:space="preserve"> </w:t>
      </w:r>
      <w:r w:rsidR="002B6DE3" w:rsidRPr="00D30DA1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D30DA1">
        <w:rPr>
          <w:rFonts w:ascii="Georgia" w:hAnsi="Georgia"/>
          <w:color w:val="002060"/>
          <w:sz w:val="24"/>
          <w:szCs w:val="24"/>
        </w:rPr>
        <w:t xml:space="preserve"> </w:t>
      </w:r>
      <w:r w:rsidR="0006329F" w:rsidRPr="00D30DA1">
        <w:rPr>
          <w:rFonts w:ascii="Georgia" w:hAnsi="Georgia"/>
          <w:color w:val="002060"/>
          <w:sz w:val="24"/>
          <w:szCs w:val="24"/>
        </w:rPr>
        <w:t>(secretariat)</w:t>
      </w:r>
    </w:p>
    <w:p w14:paraId="12F0EFAB" w14:textId="77777777" w:rsidR="00882A45" w:rsidRPr="00D30DA1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D6E6FE8" w14:textId="397E76FC" w:rsidR="00015A98" w:rsidRPr="00D30DA1" w:rsidRDefault="00015A98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30DA1">
        <w:rPr>
          <w:rFonts w:ascii="Georgia" w:hAnsi="Georgia"/>
          <w:i/>
          <w:color w:val="002060"/>
          <w:sz w:val="24"/>
          <w:szCs w:val="24"/>
        </w:rPr>
        <w:t>Apologies:</w:t>
      </w:r>
    </w:p>
    <w:p w14:paraId="43A78414" w14:textId="6AE7B300" w:rsidR="00015A98" w:rsidRDefault="00D30DA1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30DA1">
        <w:rPr>
          <w:rFonts w:ascii="Georgia" w:hAnsi="Georgia"/>
          <w:color w:val="002060"/>
          <w:sz w:val="24"/>
          <w:szCs w:val="24"/>
        </w:rPr>
        <w:t>Peter Finnegan (PF)</w:t>
      </w:r>
    </w:p>
    <w:p w14:paraId="55CAFCB6" w14:textId="77777777" w:rsidR="00882A45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68B6845" w14:textId="77777777" w:rsidR="00882A45" w:rsidRPr="00D30DA1" w:rsidRDefault="00882A45" w:rsidP="00882A45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D30DA1">
        <w:rPr>
          <w:rFonts w:ascii="Georgia" w:hAnsi="Georgia"/>
          <w:i/>
          <w:color w:val="002060"/>
          <w:sz w:val="24"/>
          <w:szCs w:val="24"/>
        </w:rPr>
        <w:t>*Tim Carey attended the meeting remotely</w:t>
      </w:r>
    </w:p>
    <w:p w14:paraId="6FA4B844" w14:textId="77777777" w:rsidR="00882A45" w:rsidRPr="00D30DA1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D5069B" w14:textId="77777777" w:rsidR="001945FA" w:rsidRPr="001945FA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377F7482" w14:textId="77777777" w:rsidR="005D1A60" w:rsidRPr="006C0A42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6C0A42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6C0A42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Welcome</w:t>
      </w:r>
    </w:p>
    <w:p w14:paraId="456B15BC" w14:textId="77777777" w:rsidR="0078601C" w:rsidRPr="006C0A42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6C0A42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6C0A42">
        <w:rPr>
          <w:rFonts w:ascii="Georgia" w:hAnsi="Georgia"/>
          <w:color w:val="002060"/>
          <w:sz w:val="24"/>
          <w:szCs w:val="24"/>
        </w:rPr>
        <w:t>Chair</w:t>
      </w:r>
      <w:r w:rsidRPr="006C0A42">
        <w:rPr>
          <w:rFonts w:ascii="Georgia" w:hAnsi="Georgia"/>
          <w:color w:val="002060"/>
          <w:sz w:val="24"/>
          <w:szCs w:val="24"/>
        </w:rPr>
        <w:t>person</w:t>
      </w:r>
      <w:r w:rsidR="002A6CB2" w:rsidRPr="006C0A42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6C0A42">
        <w:rPr>
          <w:rFonts w:ascii="Georgia" w:hAnsi="Georgia"/>
          <w:color w:val="002060"/>
          <w:sz w:val="24"/>
          <w:szCs w:val="24"/>
        </w:rPr>
        <w:t>embers</w:t>
      </w:r>
      <w:r w:rsidR="00487FBA" w:rsidRPr="006C0A42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6C0A42">
        <w:rPr>
          <w:rFonts w:ascii="Georgia" w:hAnsi="Georgia"/>
          <w:color w:val="002060"/>
          <w:sz w:val="24"/>
          <w:szCs w:val="24"/>
        </w:rPr>
        <w:t xml:space="preserve"> </w:t>
      </w:r>
    </w:p>
    <w:p w14:paraId="033BF221" w14:textId="3AC8D39E" w:rsidR="004F6B21" w:rsidRPr="006C0A42" w:rsidRDefault="004F6B21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6C0A42">
        <w:rPr>
          <w:rFonts w:ascii="Georgia" w:hAnsi="Georgia"/>
          <w:color w:val="002060"/>
          <w:sz w:val="24"/>
          <w:szCs w:val="24"/>
        </w:rPr>
        <w:t xml:space="preserve"> </w:t>
      </w:r>
    </w:p>
    <w:p w14:paraId="7FB23E4C" w14:textId="59D630E8" w:rsidR="0078601C" w:rsidRPr="006C0A42" w:rsidRDefault="0078601C" w:rsidP="0078601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6C0A42">
        <w:rPr>
          <w:rFonts w:ascii="Georgia" w:hAnsi="Georgia"/>
          <w:color w:val="002060"/>
          <w:sz w:val="24"/>
          <w:szCs w:val="24"/>
        </w:rPr>
        <w:t>The minutes from previous meetings were approved</w:t>
      </w:r>
      <w:r w:rsidR="00D30DA1" w:rsidRPr="006C0A42">
        <w:rPr>
          <w:rFonts w:ascii="Georgia" w:hAnsi="Georgia"/>
          <w:color w:val="002060"/>
          <w:sz w:val="24"/>
          <w:szCs w:val="24"/>
        </w:rPr>
        <w:t xml:space="preserve"> as amended</w:t>
      </w:r>
      <w:r w:rsidRPr="006C0A42">
        <w:rPr>
          <w:rFonts w:ascii="Georgia" w:hAnsi="Georgia"/>
          <w:color w:val="002060"/>
          <w:sz w:val="24"/>
          <w:szCs w:val="24"/>
        </w:rPr>
        <w:t>.</w:t>
      </w:r>
    </w:p>
    <w:p w14:paraId="76B783BE" w14:textId="274D2DAB" w:rsidR="0006329F" w:rsidRPr="006C0A42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6C0A42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0EC6EF85" w14:textId="77777777" w:rsidR="00D30DA1" w:rsidRPr="006C0A42" w:rsidRDefault="00D30DA1" w:rsidP="00D30DA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6C0A42">
        <w:rPr>
          <w:rFonts w:ascii="Georgia" w:hAnsi="Georgia"/>
          <w:color w:val="002060"/>
          <w:sz w:val="24"/>
          <w:szCs w:val="24"/>
        </w:rPr>
        <w:t>No conflict of interest was declared.</w:t>
      </w:r>
    </w:p>
    <w:p w14:paraId="22BD7F26" w14:textId="77777777" w:rsidR="007647A0" w:rsidRDefault="007647A0" w:rsidP="007647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6A0559E" w14:textId="5B32C98C" w:rsidR="00D30DA1" w:rsidRPr="006C0A42" w:rsidRDefault="00D30DA1" w:rsidP="00D30DA1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eastAsia="Times New Roman" w:hAnsi="Georgia"/>
          <w:b/>
          <w:color w:val="002060"/>
          <w:sz w:val="24"/>
          <w:szCs w:val="24"/>
        </w:rPr>
        <w:t>Referendum on Unified Patent Court</w:t>
      </w:r>
    </w:p>
    <w:p w14:paraId="2F30A1F9" w14:textId="32F23FCB" w:rsidR="00E94EFE" w:rsidRDefault="00D30DA1" w:rsidP="002D64CF">
      <w:pPr>
        <w:pStyle w:val="NormalWeb"/>
        <w:spacing w:before="0" w:beforeAutospacing="0" w:after="225" w:afterAutospacing="0" w:line="300" w:lineRule="atLeast"/>
        <w:rPr>
          <w:rFonts w:ascii="Georgia" w:hAnsi="Georgia" w:cs="Arial"/>
          <w:color w:val="002060"/>
          <w:shd w:val="clear" w:color="auto" w:fill="FFFFFF"/>
        </w:rPr>
      </w:pPr>
      <w:r w:rsidRPr="006C0A42">
        <w:rPr>
          <w:rFonts w:ascii="Georgia" w:hAnsi="Georgia"/>
          <w:color w:val="002060"/>
        </w:rPr>
        <w:t xml:space="preserve">The Commission gave continued consideration to the </w:t>
      </w:r>
      <w:r w:rsidRPr="006C0A42">
        <w:rPr>
          <w:rFonts w:ascii="Georgia" w:hAnsi="Georgia" w:cs="Arial"/>
          <w:color w:val="002060"/>
          <w:shd w:val="clear" w:color="auto" w:fill="FFFFFF"/>
        </w:rPr>
        <w:t>proposal to hold a constitutional referendum on Ireland’s participation in the Unified Patent Court.</w:t>
      </w:r>
      <w:r w:rsidR="006C0A42" w:rsidRPr="006C0A42">
        <w:rPr>
          <w:rFonts w:ascii="Georgia" w:hAnsi="Georgia"/>
          <w:color w:val="002060"/>
        </w:rPr>
        <w:t xml:space="preserve"> </w:t>
      </w:r>
    </w:p>
    <w:p w14:paraId="41242534" w14:textId="0C6ED58B" w:rsidR="006C0A42" w:rsidRDefault="00E94EFE" w:rsidP="006C0A42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E94EFE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PEER letter to the Minister</w:t>
      </w:r>
    </w:p>
    <w:p w14:paraId="484732B3" w14:textId="22A84E4C" w:rsidR="00E94EFE" w:rsidRPr="00E94EFE" w:rsidRDefault="00E94EFE" w:rsidP="00EC57A3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 w:rsidRPr="00BD56C6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Commission were updated on the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development of the post electoral event review (PEER) 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draft 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>report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,</w:t>
      </w:r>
      <w:r w:rsidR="00443114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following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the recent referendums held on 8</w:t>
      </w:r>
      <w:r w:rsidRPr="00E94EFE">
        <w:rPr>
          <w:rFonts w:ascii="Georgia" w:hAnsi="Georgia" w:cs="Arial"/>
          <w:color w:val="00206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March 2024. 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In advance of the draft report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publication date in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July 2024, ACT will write to the Minister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for Housing, Planning, Local Government and Heritage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to highlight the preliminary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findings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of the review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, 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to 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assist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the Minister</w:t>
      </w:r>
      <w:r w:rsidR="00443114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in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planning and </w:t>
      </w:r>
      <w:r w:rsidR="00882A45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addressing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voter concerns in advance of the 7</w:t>
      </w:r>
      <w:r w:rsidR="00EC57A3" w:rsidRPr="00EC57A3">
        <w:rPr>
          <w:rFonts w:ascii="Georgia" w:hAnsi="Georgia" w:cs="Arial"/>
          <w:color w:val="002060"/>
          <w:sz w:val="24"/>
          <w:szCs w:val="24"/>
          <w:shd w:val="clear" w:color="auto" w:fill="FFFFFF"/>
          <w:vertAlign w:val="superscript"/>
        </w:rPr>
        <w:t>th</w:t>
      </w:r>
      <w:r w:rsidR="00EC57A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June electoral events.   </w:t>
      </w:r>
    </w:p>
    <w:p w14:paraId="1AAD738E" w14:textId="174F7CF0" w:rsidR="001A6C77" w:rsidRDefault="001A6C77" w:rsidP="00584E7A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5F78CD97" w14:textId="77777777" w:rsidR="002D64CF" w:rsidRDefault="002D64CF" w:rsidP="00584E7A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</w:p>
    <w:p w14:paraId="00361C9B" w14:textId="1C703174" w:rsidR="001A6C77" w:rsidRPr="001A6C77" w:rsidRDefault="001A6C77" w:rsidP="001A6C77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1A6C77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lastRenderedPageBreak/>
        <w:t>Research Programme</w:t>
      </w:r>
    </w:p>
    <w:p w14:paraId="10802837" w14:textId="1F92E1C2" w:rsidR="00CA1351" w:rsidRPr="00443114" w:rsidRDefault="002D64CF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The Commission received an update </w:t>
      </w:r>
      <w:r w:rsidR="00862CEB" w:rsidRPr="00BD56C6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on the ACT Research Advisory Group (RAG) which </w:t>
      </w:r>
      <w:r w:rsidR="00443114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met on the </w:t>
      </w:r>
      <w:r w:rsidR="00862CEB" w:rsidRPr="00BD56C6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25</w:t>
      </w:r>
      <w:r w:rsidR="00862CEB" w:rsidRPr="00BD56C6">
        <w:rPr>
          <w:rFonts w:ascii="Georgia" w:hAnsi="Georgia" w:cs="Arial"/>
          <w:color w:val="002060"/>
          <w:sz w:val="24"/>
          <w:szCs w:val="24"/>
          <w:shd w:val="clear" w:color="auto" w:fill="FFFFFF"/>
          <w:vertAlign w:val="superscript"/>
        </w:rPr>
        <w:t>th</w:t>
      </w:r>
      <w:r w:rsidR="00862CEB" w:rsidRPr="00BD56C6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March 2024 to review and discuss the </w:t>
      </w:r>
      <w:r w:rsidR="00CA1351" w:rsidRPr="00BD56C6">
        <w:rPr>
          <w:rFonts w:ascii="Georgia" w:hAnsi="Georgia"/>
          <w:color w:val="002060"/>
          <w:sz w:val="24"/>
          <w:szCs w:val="24"/>
        </w:rPr>
        <w:t xml:space="preserve">61 submissions received following publication of the Draft Research Programme in November 2023. </w:t>
      </w:r>
      <w:r w:rsidR="00443114">
        <w:rPr>
          <w:rFonts w:ascii="Georgia" w:hAnsi="Georgia"/>
          <w:color w:val="002060"/>
          <w:sz w:val="24"/>
          <w:szCs w:val="24"/>
        </w:rPr>
        <w:t xml:space="preserve"> </w:t>
      </w:r>
      <w:r w:rsidR="00BD56C6" w:rsidRPr="00BD56C6">
        <w:rPr>
          <w:rFonts w:ascii="Georgia" w:hAnsi="Georgia"/>
          <w:color w:val="002060"/>
          <w:sz w:val="24"/>
          <w:szCs w:val="24"/>
        </w:rPr>
        <w:t>T</w:t>
      </w:r>
      <w:r w:rsidR="00CA1351" w:rsidRPr="00BD56C6">
        <w:rPr>
          <w:rFonts w:ascii="Georgia" w:hAnsi="Georgia"/>
          <w:color w:val="002060"/>
          <w:sz w:val="24"/>
          <w:szCs w:val="24"/>
        </w:rPr>
        <w:t xml:space="preserve">he RAG will </w:t>
      </w:r>
      <w:r w:rsidR="00BD56C6" w:rsidRPr="00BD56C6">
        <w:rPr>
          <w:rFonts w:ascii="Georgia" w:hAnsi="Georgia"/>
          <w:color w:val="002060"/>
          <w:sz w:val="24"/>
          <w:szCs w:val="24"/>
        </w:rPr>
        <w:t xml:space="preserve">prepare </w:t>
      </w:r>
      <w:r w:rsidR="00CA1351" w:rsidRPr="00BD56C6">
        <w:rPr>
          <w:rFonts w:ascii="Georgia" w:hAnsi="Georgia"/>
          <w:color w:val="002060"/>
          <w:sz w:val="24"/>
          <w:szCs w:val="24"/>
        </w:rPr>
        <w:t xml:space="preserve">a report on their review and recommendations </w:t>
      </w:r>
      <w:r w:rsidR="00BD56C6" w:rsidRPr="00BD56C6">
        <w:rPr>
          <w:rFonts w:ascii="Georgia" w:hAnsi="Georgia"/>
          <w:color w:val="002060"/>
          <w:sz w:val="24"/>
          <w:szCs w:val="24"/>
        </w:rPr>
        <w:t xml:space="preserve">which </w:t>
      </w:r>
      <w:r w:rsidR="00CA1351" w:rsidRPr="00BD56C6">
        <w:rPr>
          <w:rFonts w:ascii="Georgia" w:hAnsi="Georgia"/>
          <w:color w:val="002060"/>
          <w:sz w:val="24"/>
          <w:szCs w:val="24"/>
        </w:rPr>
        <w:t>will be brought to the Commission in the coming weeks.</w:t>
      </w:r>
    </w:p>
    <w:p w14:paraId="6EC5B131" w14:textId="77777777" w:rsidR="00BD56C6" w:rsidRDefault="00BD56C6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53F21CB" w14:textId="07362693" w:rsidR="00CA1351" w:rsidRDefault="00443114" w:rsidP="00CA1351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 xml:space="preserve">ACT Assessment </w:t>
      </w:r>
    </w:p>
    <w:p w14:paraId="7DC8BBC4" w14:textId="2B8CEB35" w:rsidR="00BD56C6" w:rsidRPr="00443114" w:rsidRDefault="00443114" w:rsidP="00443114">
      <w:pPr>
        <w:rPr>
          <w:rFonts w:ascii="Georgia" w:hAnsi="Georgia"/>
          <w:color w:val="002060"/>
          <w:sz w:val="24"/>
          <w:szCs w:val="24"/>
        </w:rPr>
      </w:pPr>
      <w:r w:rsidRPr="00443114">
        <w:rPr>
          <w:rFonts w:ascii="Georgia" w:hAnsi="Georgia"/>
          <w:color w:val="002060"/>
          <w:sz w:val="24"/>
          <w:szCs w:val="24"/>
        </w:rPr>
        <w:t>The Corporate Governance Standard for the C</w:t>
      </w:r>
      <w:r>
        <w:rPr>
          <w:rFonts w:ascii="Georgia" w:hAnsi="Georgia"/>
          <w:color w:val="002060"/>
          <w:sz w:val="24"/>
          <w:szCs w:val="24"/>
        </w:rPr>
        <w:t xml:space="preserve">ivil Service states that the Commission </w:t>
      </w:r>
      <w:r w:rsidRPr="00443114">
        <w:rPr>
          <w:rFonts w:ascii="Georgia" w:hAnsi="Georgia"/>
          <w:color w:val="002060"/>
          <w:sz w:val="24"/>
          <w:szCs w:val="24"/>
        </w:rPr>
        <w:t xml:space="preserve">should </w:t>
      </w:r>
      <w:r w:rsidRPr="00443114">
        <w:rPr>
          <w:rFonts w:ascii="Georgia" w:hAnsi="Georgia"/>
          <w:iCs/>
          <w:color w:val="002060"/>
          <w:sz w:val="24"/>
          <w:szCs w:val="24"/>
        </w:rPr>
        <w:t xml:space="preserve">arrange a periodic </w:t>
      </w:r>
      <w:r>
        <w:rPr>
          <w:rFonts w:ascii="Georgia" w:hAnsi="Georgia"/>
          <w:iCs/>
          <w:color w:val="002060"/>
          <w:sz w:val="24"/>
          <w:szCs w:val="24"/>
        </w:rPr>
        <w:t>self-</w:t>
      </w:r>
      <w:r w:rsidRPr="00443114">
        <w:rPr>
          <w:rFonts w:ascii="Georgia" w:hAnsi="Georgia"/>
          <w:iCs/>
          <w:color w:val="002060"/>
          <w:sz w:val="24"/>
          <w:szCs w:val="24"/>
        </w:rPr>
        <w:t>review/assessment to measure delivery, performance and effectiveness against its terms of reference.</w:t>
      </w:r>
      <w:r>
        <w:rPr>
          <w:rFonts w:ascii="Georgia" w:hAnsi="Georgia"/>
          <w:iCs/>
          <w:color w:val="002060"/>
          <w:sz w:val="24"/>
          <w:szCs w:val="24"/>
        </w:rPr>
        <w:t xml:space="preserve"> The Commission agreed to begin this process, which will be progressed in the coming months. </w:t>
      </w:r>
    </w:p>
    <w:p w14:paraId="3ACB79F5" w14:textId="3FF4DBEC" w:rsidR="0008386F" w:rsidRDefault="0008386F" w:rsidP="00501DEE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3B8B63F7" w14:textId="3271C349" w:rsidR="0027427E" w:rsidRPr="002D64CF" w:rsidRDefault="004C06A8" w:rsidP="002D64CF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</w:p>
    <w:p w14:paraId="148F4263" w14:textId="03A7B274" w:rsidR="00CF5EC1" w:rsidRPr="00CF5EC1" w:rsidRDefault="00CF5EC1" w:rsidP="009D0046">
      <w:pPr>
        <w:pStyle w:val="ListParagraph"/>
        <w:numPr>
          <w:ilvl w:val="0"/>
          <w:numId w:val="35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CF5EC1">
        <w:rPr>
          <w:rFonts w:ascii="Georgia" w:hAnsi="Georgia"/>
          <w:color w:val="002060"/>
          <w:sz w:val="24"/>
          <w:szCs w:val="24"/>
        </w:rPr>
        <w:t xml:space="preserve">Date of next meeting </w:t>
      </w:r>
      <w:r w:rsidR="00D115A4">
        <w:rPr>
          <w:rFonts w:ascii="Georgia" w:hAnsi="Georgia"/>
          <w:color w:val="002060"/>
          <w:sz w:val="24"/>
          <w:szCs w:val="24"/>
        </w:rPr>
        <w:t>16</w:t>
      </w:r>
      <w:r w:rsidR="00D115A4" w:rsidRPr="00D115A4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="00D115A4">
        <w:rPr>
          <w:rFonts w:ascii="Georgia" w:hAnsi="Georgia"/>
          <w:color w:val="002060"/>
          <w:sz w:val="24"/>
          <w:szCs w:val="24"/>
        </w:rPr>
        <w:t xml:space="preserve"> May 2024</w:t>
      </w:r>
    </w:p>
    <w:p w14:paraId="609C3514" w14:textId="68A0132B" w:rsidR="001A7CEE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0C55D3" w14:textId="71CC479C" w:rsidR="002D64CF" w:rsidRDefault="002D64CF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4E41133" w14:textId="34547CA7" w:rsidR="002D64CF" w:rsidRDefault="002D64CF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283ECFA9" w14:textId="77777777" w:rsidR="002D64CF" w:rsidRPr="00C94602" w:rsidRDefault="002D64CF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66D344" w14:textId="671BF563" w:rsidR="00A5262F" w:rsidRPr="00C94602" w:rsidRDefault="0027427E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7E2C3403" w14:textId="4A3B47A0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0131BB">
        <w:rPr>
          <w:rFonts w:ascii="Georgia" w:hAnsi="Georgia"/>
          <w:color w:val="002060"/>
          <w:sz w:val="24"/>
          <w:szCs w:val="24"/>
        </w:rPr>
        <w:t xml:space="preserve"> (signed)</w:t>
      </w:r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  <w:bookmarkStart w:id="0" w:name="_GoBack"/>
      <w:bookmarkEnd w:id="0"/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29D7ABB4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6E881AF1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340"/>
    <w:multiLevelType w:val="hybridMultilevel"/>
    <w:tmpl w:val="DF6278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1B3"/>
    <w:multiLevelType w:val="hybridMultilevel"/>
    <w:tmpl w:val="56626962"/>
    <w:lvl w:ilvl="0" w:tplc="B9B60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9463D"/>
    <w:multiLevelType w:val="hybridMultilevel"/>
    <w:tmpl w:val="915AA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C7757"/>
    <w:multiLevelType w:val="hybridMultilevel"/>
    <w:tmpl w:val="C076FDAA"/>
    <w:lvl w:ilvl="0" w:tplc="1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8"/>
  </w:num>
  <w:num w:numId="4">
    <w:abstractNumId w:val="23"/>
  </w:num>
  <w:num w:numId="5">
    <w:abstractNumId w:val="32"/>
  </w:num>
  <w:num w:numId="6">
    <w:abstractNumId w:val="26"/>
  </w:num>
  <w:num w:numId="7">
    <w:abstractNumId w:val="16"/>
  </w:num>
  <w:num w:numId="8">
    <w:abstractNumId w:val="2"/>
  </w:num>
  <w:num w:numId="9">
    <w:abstractNumId w:val="30"/>
  </w:num>
  <w:num w:numId="10">
    <w:abstractNumId w:val="14"/>
  </w:num>
  <w:num w:numId="11">
    <w:abstractNumId w:val="15"/>
  </w:num>
  <w:num w:numId="12">
    <w:abstractNumId w:val="21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10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3"/>
  </w:num>
  <w:num w:numId="23">
    <w:abstractNumId w:val="1"/>
  </w:num>
  <w:num w:numId="24">
    <w:abstractNumId w:val="12"/>
  </w:num>
  <w:num w:numId="25">
    <w:abstractNumId w:val="18"/>
  </w:num>
  <w:num w:numId="26">
    <w:abstractNumId w:val="13"/>
  </w:num>
  <w:num w:numId="27">
    <w:abstractNumId w:val="11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2"/>
  </w:num>
  <w:num w:numId="32">
    <w:abstractNumId w:val="4"/>
  </w:num>
  <w:num w:numId="33">
    <w:abstractNumId w:val="24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518B"/>
    <w:rsid w:val="00007A6E"/>
    <w:rsid w:val="00011EB8"/>
    <w:rsid w:val="000131BB"/>
    <w:rsid w:val="00015A98"/>
    <w:rsid w:val="00023DD9"/>
    <w:rsid w:val="00030AAF"/>
    <w:rsid w:val="00055F27"/>
    <w:rsid w:val="0006233B"/>
    <w:rsid w:val="0006329F"/>
    <w:rsid w:val="0008386F"/>
    <w:rsid w:val="00087E27"/>
    <w:rsid w:val="00097499"/>
    <w:rsid w:val="000977ED"/>
    <w:rsid w:val="000A6B0B"/>
    <w:rsid w:val="000B47AA"/>
    <w:rsid w:val="000C186F"/>
    <w:rsid w:val="000D7F7A"/>
    <w:rsid w:val="000F64DF"/>
    <w:rsid w:val="00103868"/>
    <w:rsid w:val="001143B4"/>
    <w:rsid w:val="00120D95"/>
    <w:rsid w:val="00132F40"/>
    <w:rsid w:val="00134C67"/>
    <w:rsid w:val="00136FBB"/>
    <w:rsid w:val="0014448B"/>
    <w:rsid w:val="00145854"/>
    <w:rsid w:val="0015570D"/>
    <w:rsid w:val="001666BA"/>
    <w:rsid w:val="00176907"/>
    <w:rsid w:val="00180F05"/>
    <w:rsid w:val="001945FA"/>
    <w:rsid w:val="001A1A8B"/>
    <w:rsid w:val="001A2A3E"/>
    <w:rsid w:val="001A6C77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27E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D64CF"/>
    <w:rsid w:val="002E0189"/>
    <w:rsid w:val="002F324D"/>
    <w:rsid w:val="002F3FCB"/>
    <w:rsid w:val="002F78BE"/>
    <w:rsid w:val="00326077"/>
    <w:rsid w:val="00330EE6"/>
    <w:rsid w:val="00343AC2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43114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10EC4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4E7A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275A1"/>
    <w:rsid w:val="00634020"/>
    <w:rsid w:val="006649BA"/>
    <w:rsid w:val="00670655"/>
    <w:rsid w:val="00674B45"/>
    <w:rsid w:val="00681566"/>
    <w:rsid w:val="00696994"/>
    <w:rsid w:val="00697B95"/>
    <w:rsid w:val="006B3AB9"/>
    <w:rsid w:val="006B4CB5"/>
    <w:rsid w:val="006B7919"/>
    <w:rsid w:val="006C08B5"/>
    <w:rsid w:val="006C0A42"/>
    <w:rsid w:val="006C24F2"/>
    <w:rsid w:val="006D48E5"/>
    <w:rsid w:val="006E469C"/>
    <w:rsid w:val="006F1C80"/>
    <w:rsid w:val="006F1D47"/>
    <w:rsid w:val="006F2B8F"/>
    <w:rsid w:val="00706BA8"/>
    <w:rsid w:val="00715D4A"/>
    <w:rsid w:val="007251AE"/>
    <w:rsid w:val="0073108B"/>
    <w:rsid w:val="00735999"/>
    <w:rsid w:val="00743474"/>
    <w:rsid w:val="00743CE3"/>
    <w:rsid w:val="00757F50"/>
    <w:rsid w:val="00760A9F"/>
    <w:rsid w:val="007647A0"/>
    <w:rsid w:val="00765984"/>
    <w:rsid w:val="007721F7"/>
    <w:rsid w:val="00780813"/>
    <w:rsid w:val="00781ADD"/>
    <w:rsid w:val="0078601C"/>
    <w:rsid w:val="0079232E"/>
    <w:rsid w:val="00793DE5"/>
    <w:rsid w:val="007A27B6"/>
    <w:rsid w:val="007A5120"/>
    <w:rsid w:val="007A5859"/>
    <w:rsid w:val="007B43E1"/>
    <w:rsid w:val="007D43BA"/>
    <w:rsid w:val="007F032B"/>
    <w:rsid w:val="007F5109"/>
    <w:rsid w:val="007F6EF3"/>
    <w:rsid w:val="00831D74"/>
    <w:rsid w:val="008444DA"/>
    <w:rsid w:val="008605D2"/>
    <w:rsid w:val="00862CEB"/>
    <w:rsid w:val="00863725"/>
    <w:rsid w:val="00872C6F"/>
    <w:rsid w:val="00877983"/>
    <w:rsid w:val="00882A45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D0046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0DF7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63AB"/>
    <w:rsid w:val="00B471C2"/>
    <w:rsid w:val="00B477BD"/>
    <w:rsid w:val="00B62C27"/>
    <w:rsid w:val="00B735DD"/>
    <w:rsid w:val="00BA0A0C"/>
    <w:rsid w:val="00BA0BB0"/>
    <w:rsid w:val="00BB37DE"/>
    <w:rsid w:val="00BB4A98"/>
    <w:rsid w:val="00BC1156"/>
    <w:rsid w:val="00BC4908"/>
    <w:rsid w:val="00BD4DE4"/>
    <w:rsid w:val="00BD56C6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1351"/>
    <w:rsid w:val="00CA4BF3"/>
    <w:rsid w:val="00CB7798"/>
    <w:rsid w:val="00CC03D3"/>
    <w:rsid w:val="00CC18F4"/>
    <w:rsid w:val="00CC408F"/>
    <w:rsid w:val="00CE560C"/>
    <w:rsid w:val="00CE6284"/>
    <w:rsid w:val="00CF23F8"/>
    <w:rsid w:val="00CF5EC1"/>
    <w:rsid w:val="00CF6291"/>
    <w:rsid w:val="00D115A4"/>
    <w:rsid w:val="00D12210"/>
    <w:rsid w:val="00D155BF"/>
    <w:rsid w:val="00D24E5D"/>
    <w:rsid w:val="00D272DF"/>
    <w:rsid w:val="00D30DA1"/>
    <w:rsid w:val="00D4025B"/>
    <w:rsid w:val="00D41D6A"/>
    <w:rsid w:val="00D41FC5"/>
    <w:rsid w:val="00D52F15"/>
    <w:rsid w:val="00D574C9"/>
    <w:rsid w:val="00D636E4"/>
    <w:rsid w:val="00D64AD9"/>
    <w:rsid w:val="00D769D2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4EFE"/>
    <w:rsid w:val="00E97435"/>
    <w:rsid w:val="00EA2D92"/>
    <w:rsid w:val="00EC29FE"/>
    <w:rsid w:val="00EC57A3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A1D4F"/>
    <w:rsid w:val="00FA6484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  <w:style w:type="table" w:customStyle="1" w:styleId="TableGrid1">
    <w:name w:val="Table Grid1"/>
    <w:basedOn w:val="TableNormal"/>
    <w:next w:val="TableGrid"/>
    <w:uiPriority w:val="39"/>
    <w:rsid w:val="00D64AD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A8F7-5F07-485E-A2C3-017B6701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2024-05-17T14:42:00Z</dcterms:created>
  <dcterms:modified xsi:type="dcterms:W3CDTF">2024-05-17T14:42:00Z</dcterms:modified>
</cp:coreProperties>
</file>