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76F2" w14:textId="77777777" w:rsidR="00FF79A5" w:rsidRPr="00735999" w:rsidRDefault="00FF79A5" w:rsidP="004B22A0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>Meeting of An Coimisiún Toghcháin (ACT), The Electoral Commission.</w:t>
      </w:r>
    </w:p>
    <w:p w14:paraId="4C23D6E3" w14:textId="77777777" w:rsidR="00FF79A5" w:rsidRPr="00735999" w:rsidRDefault="00FF79A5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E3F2935" w14:textId="22F8EB67" w:rsidR="008F3999" w:rsidRPr="006C08B5" w:rsidRDefault="00DE0DFE" w:rsidP="008F3999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 xml:space="preserve">Held in the </w:t>
      </w:r>
      <w:r w:rsidR="008F270D">
        <w:rPr>
          <w:rFonts w:ascii="Georgia" w:hAnsi="Georgia"/>
          <w:b/>
          <w:color w:val="002060"/>
          <w:sz w:val="24"/>
          <w:szCs w:val="24"/>
        </w:rPr>
        <w:t>ACT Boardroom</w:t>
      </w:r>
      <w:r w:rsidR="008F3999" w:rsidRPr="006C08B5">
        <w:rPr>
          <w:rFonts w:ascii="Georgia" w:hAnsi="Georgia"/>
          <w:b/>
          <w:color w:val="002060"/>
          <w:sz w:val="24"/>
          <w:szCs w:val="24"/>
        </w:rPr>
        <w:t xml:space="preserve">, </w:t>
      </w:r>
      <w:r w:rsidR="00015A98">
        <w:rPr>
          <w:rFonts w:ascii="Georgia" w:hAnsi="Georgia"/>
          <w:b/>
          <w:color w:val="002060"/>
          <w:sz w:val="24"/>
          <w:szCs w:val="24"/>
        </w:rPr>
        <w:t>Dublin Castle, 10</w:t>
      </w:r>
      <w:r w:rsidR="008F270D">
        <w:rPr>
          <w:rFonts w:ascii="Georgia" w:hAnsi="Georgia"/>
          <w:b/>
          <w:color w:val="002060"/>
          <w:sz w:val="24"/>
          <w:szCs w:val="24"/>
        </w:rPr>
        <w:t>.00</w:t>
      </w:r>
      <w:r w:rsidR="008F3999" w:rsidRPr="006C08B5">
        <w:rPr>
          <w:rFonts w:ascii="Georgia" w:hAnsi="Georgia"/>
          <w:b/>
          <w:color w:val="002060"/>
          <w:sz w:val="24"/>
          <w:szCs w:val="24"/>
        </w:rPr>
        <w:t xml:space="preserve">am – </w:t>
      </w:r>
      <w:r w:rsidR="00853E3C">
        <w:rPr>
          <w:rFonts w:ascii="Georgia" w:hAnsi="Georgia"/>
          <w:b/>
          <w:color w:val="002060"/>
          <w:sz w:val="24"/>
          <w:szCs w:val="24"/>
        </w:rPr>
        <w:t>16</w:t>
      </w:r>
      <w:r w:rsidR="00D30DA1" w:rsidRPr="00D30DA1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 w:rsidR="00D30DA1">
        <w:rPr>
          <w:rFonts w:ascii="Georgia" w:hAnsi="Georgia"/>
          <w:b/>
          <w:color w:val="002060"/>
          <w:sz w:val="24"/>
          <w:szCs w:val="24"/>
        </w:rPr>
        <w:t xml:space="preserve"> </w:t>
      </w:r>
      <w:r w:rsidR="00853E3C">
        <w:rPr>
          <w:rFonts w:ascii="Georgia" w:hAnsi="Georgia"/>
          <w:b/>
          <w:color w:val="002060"/>
          <w:sz w:val="24"/>
          <w:szCs w:val="24"/>
        </w:rPr>
        <w:t xml:space="preserve">May </w:t>
      </w:r>
      <w:r w:rsidR="008F270D">
        <w:rPr>
          <w:rFonts w:ascii="Georgia" w:hAnsi="Georgia"/>
          <w:b/>
          <w:color w:val="002060"/>
          <w:sz w:val="24"/>
          <w:szCs w:val="24"/>
        </w:rPr>
        <w:t>2024</w:t>
      </w:r>
    </w:p>
    <w:p w14:paraId="15C31AB9" w14:textId="77777777" w:rsidR="006C08B5" w:rsidRPr="00735999" w:rsidRDefault="006C08B5" w:rsidP="004B22A0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3332F6E" w14:textId="77777777" w:rsidR="009B421D" w:rsidRPr="00437BC9" w:rsidRDefault="005D1A60" w:rsidP="004B22A0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437BC9">
        <w:rPr>
          <w:rFonts w:ascii="Georgia" w:hAnsi="Georgia"/>
          <w:i/>
          <w:color w:val="002060"/>
          <w:sz w:val="24"/>
          <w:szCs w:val="24"/>
        </w:rPr>
        <w:t>In attendance</w:t>
      </w:r>
      <w:r w:rsidR="009B421D" w:rsidRPr="00437BC9">
        <w:rPr>
          <w:rFonts w:ascii="Georgia" w:hAnsi="Georgia"/>
          <w:i/>
          <w:color w:val="002060"/>
          <w:sz w:val="24"/>
          <w:szCs w:val="24"/>
        </w:rPr>
        <w:t>:</w:t>
      </w:r>
    </w:p>
    <w:p w14:paraId="64772EE6" w14:textId="46C127BF" w:rsidR="002459BA" w:rsidRPr="00437BC9" w:rsidRDefault="00FF79A5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37BC9">
        <w:rPr>
          <w:rFonts w:ascii="Georgia" w:hAnsi="Georgia"/>
          <w:color w:val="002060"/>
          <w:sz w:val="24"/>
          <w:szCs w:val="24"/>
        </w:rPr>
        <w:t>Justice Marie Baker (Chairperson), Maura Quinn</w:t>
      </w:r>
      <w:r w:rsidR="00437BC9" w:rsidRPr="00437BC9">
        <w:rPr>
          <w:rFonts w:ascii="Georgia" w:hAnsi="Georgia"/>
          <w:color w:val="002060"/>
          <w:sz w:val="24"/>
          <w:szCs w:val="24"/>
        </w:rPr>
        <w:t xml:space="preserve"> </w:t>
      </w:r>
      <w:r w:rsidRPr="00437BC9">
        <w:rPr>
          <w:rFonts w:ascii="Georgia" w:hAnsi="Georgia"/>
          <w:color w:val="002060"/>
          <w:sz w:val="24"/>
          <w:szCs w:val="24"/>
        </w:rPr>
        <w:t>(MQ)</w:t>
      </w:r>
      <w:r w:rsidR="001C4C9F" w:rsidRPr="00437BC9">
        <w:rPr>
          <w:rFonts w:ascii="Georgia" w:hAnsi="Georgia"/>
          <w:color w:val="002060"/>
          <w:sz w:val="24"/>
          <w:szCs w:val="24"/>
        </w:rPr>
        <w:t xml:space="preserve">, </w:t>
      </w:r>
      <w:r w:rsidR="002459BA" w:rsidRPr="00437BC9">
        <w:rPr>
          <w:rFonts w:ascii="Georgia" w:hAnsi="Georgia"/>
          <w:color w:val="002060"/>
          <w:sz w:val="24"/>
          <w:szCs w:val="24"/>
        </w:rPr>
        <w:t>Alex Attwood (AA), John</w:t>
      </w:r>
      <w:r w:rsidR="00D30DA1" w:rsidRPr="00437BC9">
        <w:rPr>
          <w:rFonts w:ascii="Georgia" w:hAnsi="Georgia"/>
          <w:color w:val="002060"/>
          <w:sz w:val="24"/>
          <w:szCs w:val="24"/>
        </w:rPr>
        <w:t xml:space="preserve"> Cu</w:t>
      </w:r>
      <w:r w:rsidR="00437BC9" w:rsidRPr="00437BC9">
        <w:rPr>
          <w:rFonts w:ascii="Georgia" w:hAnsi="Georgia"/>
          <w:color w:val="002060"/>
          <w:sz w:val="24"/>
          <w:szCs w:val="24"/>
        </w:rPr>
        <w:t xml:space="preserve">rran (JC), Ger Deering (GD), </w:t>
      </w:r>
      <w:r w:rsidR="00D30DA1" w:rsidRPr="00437BC9">
        <w:rPr>
          <w:rFonts w:ascii="Georgia" w:hAnsi="Georgia"/>
          <w:color w:val="002060"/>
          <w:sz w:val="24"/>
          <w:szCs w:val="24"/>
        </w:rPr>
        <w:t>Caroline Fennell</w:t>
      </w:r>
      <w:r w:rsidR="00437BC9" w:rsidRPr="00437BC9">
        <w:rPr>
          <w:rFonts w:ascii="Georgia" w:hAnsi="Georgia"/>
          <w:color w:val="002060"/>
          <w:sz w:val="24"/>
          <w:szCs w:val="24"/>
        </w:rPr>
        <w:t>*</w:t>
      </w:r>
      <w:r w:rsidR="00D30DA1" w:rsidRPr="00437BC9">
        <w:rPr>
          <w:rFonts w:ascii="Georgia" w:hAnsi="Georgia"/>
          <w:color w:val="002060"/>
          <w:sz w:val="24"/>
          <w:szCs w:val="24"/>
        </w:rPr>
        <w:t xml:space="preserve"> (C</w:t>
      </w:r>
      <w:r w:rsidR="008F270D" w:rsidRPr="00437BC9">
        <w:rPr>
          <w:rFonts w:ascii="Georgia" w:hAnsi="Georgia"/>
          <w:color w:val="002060"/>
          <w:sz w:val="24"/>
          <w:szCs w:val="24"/>
        </w:rPr>
        <w:t>F)</w:t>
      </w:r>
      <w:r w:rsidR="00437BC9" w:rsidRPr="00437BC9">
        <w:rPr>
          <w:rFonts w:ascii="Georgia" w:hAnsi="Georgia"/>
          <w:color w:val="002060"/>
          <w:sz w:val="24"/>
          <w:szCs w:val="24"/>
        </w:rPr>
        <w:t xml:space="preserve"> and Peter Finnegan* (PF)</w:t>
      </w:r>
      <w:r w:rsidR="00015A98" w:rsidRPr="00437BC9">
        <w:rPr>
          <w:rFonts w:ascii="Georgia" w:hAnsi="Georgia"/>
          <w:color w:val="002060"/>
          <w:sz w:val="24"/>
          <w:szCs w:val="24"/>
        </w:rPr>
        <w:t>.</w:t>
      </w:r>
    </w:p>
    <w:p w14:paraId="4B4F2BA9" w14:textId="320DF8DE" w:rsidR="002459BA" w:rsidRPr="00437BC9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B2AED1A" w14:textId="2135A76F" w:rsidR="00015A98" w:rsidRPr="00437BC9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37BC9">
        <w:rPr>
          <w:rFonts w:ascii="Georgia" w:hAnsi="Georgia"/>
          <w:i/>
          <w:color w:val="002060"/>
          <w:sz w:val="24"/>
          <w:szCs w:val="24"/>
        </w:rPr>
        <w:t>An Coimisiún Executive</w:t>
      </w:r>
      <w:r w:rsidRPr="00437BC9">
        <w:rPr>
          <w:rFonts w:ascii="Georgia" w:hAnsi="Georgia"/>
          <w:color w:val="002060"/>
          <w:sz w:val="24"/>
          <w:szCs w:val="24"/>
        </w:rPr>
        <w:t xml:space="preserve">: Art O’Leary (AOL), </w:t>
      </w:r>
      <w:r w:rsidR="002B6DE3" w:rsidRPr="00437BC9">
        <w:rPr>
          <w:rFonts w:ascii="Georgia" w:hAnsi="Georgia"/>
          <w:color w:val="002060"/>
          <w:sz w:val="24"/>
          <w:szCs w:val="24"/>
        </w:rPr>
        <w:t>Mary Clare O’Sullivan (MCOS), Karen Kehily (KK)</w:t>
      </w:r>
      <w:r w:rsidR="00D24E5D" w:rsidRPr="00437BC9">
        <w:rPr>
          <w:rFonts w:ascii="Georgia" w:hAnsi="Georgia"/>
          <w:color w:val="002060"/>
          <w:sz w:val="24"/>
          <w:szCs w:val="24"/>
        </w:rPr>
        <w:t xml:space="preserve">, </w:t>
      </w:r>
      <w:r w:rsidR="00437BC9" w:rsidRPr="00437BC9">
        <w:rPr>
          <w:rFonts w:ascii="Georgia" w:hAnsi="Georgia"/>
          <w:color w:val="002060"/>
          <w:sz w:val="24"/>
          <w:szCs w:val="24"/>
        </w:rPr>
        <w:t>Tim Carey</w:t>
      </w:r>
      <w:r w:rsidR="00D30DA1" w:rsidRPr="00437BC9">
        <w:rPr>
          <w:rFonts w:ascii="Georgia" w:hAnsi="Georgia"/>
          <w:color w:val="002060"/>
          <w:sz w:val="24"/>
          <w:szCs w:val="24"/>
        </w:rPr>
        <w:t xml:space="preserve"> (TC), </w:t>
      </w:r>
      <w:r w:rsidR="002B6DE3" w:rsidRPr="00437BC9">
        <w:rPr>
          <w:rFonts w:ascii="Georgia" w:hAnsi="Georgia"/>
          <w:color w:val="002060"/>
          <w:sz w:val="24"/>
          <w:szCs w:val="24"/>
        </w:rPr>
        <w:t>and Andrea Jones</w:t>
      </w:r>
      <w:r w:rsidR="00CA4BF3" w:rsidRPr="00437BC9">
        <w:rPr>
          <w:rFonts w:ascii="Georgia" w:hAnsi="Georgia"/>
          <w:color w:val="002060"/>
          <w:sz w:val="24"/>
          <w:szCs w:val="24"/>
        </w:rPr>
        <w:t xml:space="preserve"> </w:t>
      </w:r>
      <w:r w:rsidR="0006329F" w:rsidRPr="00437BC9">
        <w:rPr>
          <w:rFonts w:ascii="Georgia" w:hAnsi="Georgia"/>
          <w:color w:val="002060"/>
          <w:sz w:val="24"/>
          <w:szCs w:val="24"/>
        </w:rPr>
        <w:t>(secretariat)</w:t>
      </w:r>
    </w:p>
    <w:p w14:paraId="55CAFCB6" w14:textId="55755104" w:rsidR="00882A45" w:rsidRPr="00437BC9" w:rsidRDefault="00882A45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68B6845" w14:textId="52CD9D56" w:rsidR="00882A45" w:rsidRPr="00437BC9" w:rsidRDefault="00882A45" w:rsidP="00882A45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437BC9">
        <w:rPr>
          <w:rFonts w:ascii="Georgia" w:hAnsi="Georgia"/>
          <w:i/>
          <w:color w:val="002060"/>
          <w:sz w:val="24"/>
          <w:szCs w:val="24"/>
        </w:rPr>
        <w:t>*</w:t>
      </w:r>
      <w:r w:rsidR="00437BC9" w:rsidRPr="00437BC9">
        <w:rPr>
          <w:rFonts w:ascii="Georgia" w:hAnsi="Georgia"/>
          <w:i/>
          <w:color w:val="002060"/>
          <w:sz w:val="24"/>
          <w:szCs w:val="24"/>
        </w:rPr>
        <w:t>Caroline Fennell and Peter Finnegan</w:t>
      </w:r>
      <w:r w:rsidRPr="00437BC9">
        <w:rPr>
          <w:rFonts w:ascii="Georgia" w:hAnsi="Georgia"/>
          <w:i/>
          <w:color w:val="002060"/>
          <w:sz w:val="24"/>
          <w:szCs w:val="24"/>
        </w:rPr>
        <w:t xml:space="preserve"> attended the meeting remotely</w:t>
      </w:r>
    </w:p>
    <w:p w14:paraId="6FA4B844" w14:textId="77777777" w:rsidR="00882A45" w:rsidRPr="00D30DA1" w:rsidRDefault="00882A45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7D5069B" w14:textId="77777777" w:rsidR="001945FA" w:rsidRPr="001945FA" w:rsidRDefault="001945FA" w:rsidP="004B22A0">
      <w:pPr>
        <w:spacing w:after="0" w:line="288" w:lineRule="auto"/>
        <w:rPr>
          <w:rFonts w:ascii="Georgia" w:hAnsi="Georgia"/>
          <w:color w:val="002060"/>
        </w:rPr>
      </w:pPr>
    </w:p>
    <w:p w14:paraId="377F7482" w14:textId="77777777" w:rsidR="005D1A60" w:rsidRPr="006C0A42" w:rsidRDefault="00227C42" w:rsidP="004B22A0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6C0A42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064B5D88" w14:textId="22C4BF5C" w:rsidR="004528AA" w:rsidRDefault="00FF79A5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6C0A42">
        <w:rPr>
          <w:rFonts w:ascii="Georgia" w:hAnsi="Georgia"/>
          <w:b/>
          <w:color w:val="002060"/>
          <w:sz w:val="24"/>
          <w:szCs w:val="24"/>
        </w:rPr>
        <w:t>Welcome</w:t>
      </w:r>
    </w:p>
    <w:p w14:paraId="70EDDF12" w14:textId="77777777" w:rsidR="00C41F8B" w:rsidRPr="006C0A42" w:rsidRDefault="00C41F8B" w:rsidP="00C41F8B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033BF221" w14:textId="23D6EC16" w:rsidR="004F6B21" w:rsidRPr="00437BC9" w:rsidRDefault="00F21A0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37BC9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437BC9">
        <w:rPr>
          <w:rFonts w:ascii="Georgia" w:hAnsi="Georgia"/>
          <w:color w:val="002060"/>
          <w:sz w:val="24"/>
          <w:szCs w:val="24"/>
        </w:rPr>
        <w:t>Chair</w:t>
      </w:r>
      <w:r w:rsidRPr="00437BC9">
        <w:rPr>
          <w:rFonts w:ascii="Georgia" w:hAnsi="Georgia"/>
          <w:color w:val="002060"/>
          <w:sz w:val="24"/>
          <w:szCs w:val="24"/>
        </w:rPr>
        <w:t>person</w:t>
      </w:r>
      <w:r w:rsidR="002A6CB2" w:rsidRPr="00437BC9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437BC9">
        <w:rPr>
          <w:rFonts w:ascii="Georgia" w:hAnsi="Georgia"/>
          <w:color w:val="002060"/>
          <w:sz w:val="24"/>
          <w:szCs w:val="24"/>
        </w:rPr>
        <w:t>embers</w:t>
      </w:r>
      <w:r w:rsidR="00487FBA" w:rsidRPr="00437BC9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437BC9">
        <w:rPr>
          <w:rFonts w:ascii="Georgia" w:hAnsi="Georgia"/>
          <w:color w:val="002060"/>
          <w:sz w:val="24"/>
          <w:szCs w:val="24"/>
        </w:rPr>
        <w:t xml:space="preserve"> </w:t>
      </w:r>
    </w:p>
    <w:p w14:paraId="7FB23E4C" w14:textId="2A33F17B" w:rsidR="0078601C" w:rsidRPr="00437BC9" w:rsidRDefault="0078601C" w:rsidP="0078601C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37BC9">
        <w:rPr>
          <w:rFonts w:ascii="Georgia" w:hAnsi="Georgia"/>
          <w:color w:val="002060"/>
          <w:sz w:val="24"/>
          <w:szCs w:val="24"/>
        </w:rPr>
        <w:t>The minutes from previous meetings were approved</w:t>
      </w:r>
      <w:r w:rsidR="00853E3C" w:rsidRPr="00437BC9">
        <w:rPr>
          <w:rFonts w:ascii="Georgia" w:hAnsi="Georgia"/>
          <w:color w:val="002060"/>
          <w:sz w:val="24"/>
          <w:szCs w:val="24"/>
        </w:rPr>
        <w:t>.</w:t>
      </w:r>
    </w:p>
    <w:p w14:paraId="76B783BE" w14:textId="274D2DAB" w:rsidR="0006329F" w:rsidRPr="006C0A42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B17D3EF" w14:textId="00E30C12" w:rsidR="0006329F" w:rsidRDefault="0006329F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6C0A42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2152C53D" w14:textId="77777777" w:rsidR="00C41F8B" w:rsidRPr="006C0A42" w:rsidRDefault="00C41F8B" w:rsidP="00C41F8B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4E22664B" w14:textId="13FD3F95" w:rsidR="00853E3C" w:rsidRPr="00D82084" w:rsidRDefault="00853E3C" w:rsidP="00C41F8B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 w:rsidRPr="00D82084">
        <w:rPr>
          <w:rFonts w:ascii="Georgia" w:hAnsi="Georgia"/>
          <w:color w:val="002060"/>
          <w:sz w:val="24"/>
          <w:szCs w:val="24"/>
        </w:rPr>
        <w:t>Prior to the</w:t>
      </w:r>
      <w:r w:rsidR="007F2251" w:rsidRPr="00D82084">
        <w:rPr>
          <w:rFonts w:ascii="Georgia" w:hAnsi="Georgia"/>
          <w:color w:val="002060"/>
          <w:sz w:val="24"/>
          <w:szCs w:val="24"/>
        </w:rPr>
        <w:t xml:space="preserve"> discussion of</w:t>
      </w:r>
      <w:r w:rsidRPr="00D82084">
        <w:rPr>
          <w:rFonts w:ascii="Georgia" w:hAnsi="Georgia"/>
          <w:color w:val="002060"/>
          <w:sz w:val="24"/>
          <w:szCs w:val="24"/>
        </w:rPr>
        <w:t xml:space="preserve"> agenda item number eight, the Chief Executive notified the Chair and the Commission members of </w:t>
      </w:r>
      <w:r w:rsidR="007F2251" w:rsidRPr="00D82084">
        <w:rPr>
          <w:rFonts w:ascii="Georgia" w:hAnsi="Georgia"/>
          <w:color w:val="002060"/>
          <w:sz w:val="24"/>
          <w:szCs w:val="24"/>
        </w:rPr>
        <w:t>a</w:t>
      </w:r>
      <w:r w:rsidR="00D82084" w:rsidRPr="00D82084">
        <w:rPr>
          <w:rFonts w:ascii="Georgia" w:hAnsi="Georgia"/>
          <w:color w:val="002060"/>
          <w:sz w:val="24"/>
          <w:szCs w:val="24"/>
        </w:rPr>
        <w:t xml:space="preserve"> conflict of interest. The</w:t>
      </w:r>
      <w:r w:rsidRPr="00D82084">
        <w:rPr>
          <w:rFonts w:ascii="Georgia" w:hAnsi="Georgia"/>
          <w:color w:val="002060"/>
          <w:sz w:val="24"/>
          <w:szCs w:val="24"/>
        </w:rPr>
        <w:t xml:space="preserve"> Commission member</w:t>
      </w:r>
      <w:r w:rsidR="00D82084" w:rsidRPr="00D82084">
        <w:rPr>
          <w:rFonts w:ascii="Georgia" w:hAnsi="Georgia"/>
          <w:color w:val="002060"/>
          <w:sz w:val="24"/>
          <w:szCs w:val="24"/>
        </w:rPr>
        <w:t xml:space="preserve">s acknowledged the conflict of interest and the Chief Executive recused themselves from the discussion. </w:t>
      </w:r>
    </w:p>
    <w:p w14:paraId="22BD7F26" w14:textId="10412F36" w:rsidR="007647A0" w:rsidRPr="00D82084" w:rsidRDefault="007647A0" w:rsidP="00D82084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6A0559E" w14:textId="56BAF58C" w:rsidR="00D30DA1" w:rsidRPr="001E5881" w:rsidRDefault="007F2251" w:rsidP="00D30DA1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437BC9">
        <w:rPr>
          <w:rFonts w:ascii="Georgia" w:eastAsia="Times New Roman" w:hAnsi="Georgia"/>
          <w:b/>
          <w:color w:val="002060"/>
          <w:sz w:val="24"/>
          <w:szCs w:val="24"/>
        </w:rPr>
        <w:t>Local &amp; European Parliament Campaign</w:t>
      </w:r>
    </w:p>
    <w:p w14:paraId="5D6ADF96" w14:textId="77777777" w:rsidR="001E5881" w:rsidRPr="001E5881" w:rsidRDefault="001E5881" w:rsidP="001E5881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4F8E76C9" w14:textId="0C1C2B04" w:rsidR="00437BC9" w:rsidRPr="00A82008" w:rsidRDefault="001E5881" w:rsidP="00A82008">
      <w:pPr>
        <w:pStyle w:val="NormalWeb"/>
        <w:spacing w:before="0" w:beforeAutospacing="0" w:after="225" w:afterAutospacing="0" w:line="300" w:lineRule="atLeast"/>
        <w:rPr>
          <w:rFonts w:ascii="Georgia" w:hAnsi="Georgia"/>
          <w:color w:val="002060"/>
        </w:rPr>
      </w:pPr>
      <w:r w:rsidRPr="00EB2081">
        <w:rPr>
          <w:rFonts w:ascii="Georgia" w:hAnsi="Georgia"/>
          <w:color w:val="002060"/>
        </w:rPr>
        <w:t>The Commission were updated on the public information campaign for the Local and European elections, and the Mayoral Election in Limerick, which will be held on Friday 7</w:t>
      </w:r>
      <w:r w:rsidRPr="00EB2081">
        <w:rPr>
          <w:rFonts w:ascii="Georgia" w:hAnsi="Georgia"/>
          <w:color w:val="002060"/>
          <w:vertAlign w:val="superscript"/>
        </w:rPr>
        <w:t>th</w:t>
      </w:r>
      <w:r w:rsidR="00D74F0A" w:rsidRPr="00EB2081">
        <w:rPr>
          <w:rFonts w:ascii="Georgia" w:hAnsi="Georgia"/>
          <w:color w:val="002060"/>
        </w:rPr>
        <w:t>.</w:t>
      </w:r>
    </w:p>
    <w:p w14:paraId="6F7C7CDC" w14:textId="15F025FE" w:rsidR="00326B8C" w:rsidRPr="00326B8C" w:rsidRDefault="00326B8C" w:rsidP="00326B8C">
      <w:pPr>
        <w:spacing w:after="0" w:line="288" w:lineRule="auto"/>
        <w:ind w:left="360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5F78CD97" w14:textId="0ABC2603" w:rsidR="002D64CF" w:rsidRDefault="00326B8C" w:rsidP="00326B8C">
      <w:pPr>
        <w:pStyle w:val="ListParagraph"/>
        <w:numPr>
          <w:ilvl w:val="0"/>
          <w:numId w:val="14"/>
        </w:numPr>
        <w:spacing w:after="0" w:line="480" w:lineRule="auto"/>
        <w:rPr>
          <w:rFonts w:ascii="Georgia" w:eastAsia="Times New Roman" w:hAnsi="Georgia" w:cs="Times New Roman"/>
          <w:b/>
          <w:color w:val="002060"/>
          <w:sz w:val="24"/>
          <w:szCs w:val="24"/>
          <w:lang w:eastAsia="en-IE"/>
        </w:rPr>
      </w:pPr>
      <w:r w:rsidRPr="00EB2081">
        <w:rPr>
          <w:rFonts w:ascii="Georgia" w:eastAsia="Times New Roman" w:hAnsi="Georgia" w:cs="Times New Roman"/>
          <w:b/>
          <w:color w:val="002060"/>
          <w:sz w:val="24"/>
          <w:szCs w:val="24"/>
          <w:lang w:eastAsia="en-IE"/>
        </w:rPr>
        <w:t xml:space="preserve">Review of March ’24 Referendums </w:t>
      </w:r>
    </w:p>
    <w:p w14:paraId="4B2E5F43" w14:textId="4A5AEAB6" w:rsidR="00D82084" w:rsidRPr="0022402B" w:rsidRDefault="00D82084" w:rsidP="00D82084">
      <w:pPr>
        <w:pStyle w:val="NormalWeb"/>
        <w:spacing w:before="0" w:beforeAutospacing="0" w:after="225" w:afterAutospacing="0" w:line="300" w:lineRule="atLeast"/>
        <w:rPr>
          <w:rFonts w:ascii="Georgia" w:hAnsi="Georgia"/>
          <w:color w:val="002060"/>
        </w:rPr>
      </w:pPr>
      <w:r w:rsidRPr="00D82084">
        <w:rPr>
          <w:rFonts w:ascii="Georgia" w:hAnsi="Georgia"/>
          <w:color w:val="002060"/>
        </w:rPr>
        <w:t>The Commission were updated on the development of the draft report on the proposed</w:t>
      </w:r>
      <w:r>
        <w:rPr>
          <w:rFonts w:ascii="Georgia" w:hAnsi="Georgia"/>
          <w:b/>
          <w:color w:val="002060"/>
        </w:rPr>
        <w:t xml:space="preserve"> </w:t>
      </w:r>
      <w:r>
        <w:rPr>
          <w:rFonts w:ascii="Georgia" w:hAnsi="Georgia" w:cs="Lato-Black"/>
          <w:color w:val="002060"/>
        </w:rPr>
        <w:t xml:space="preserve">thirty-ninth amendment of the Constitution (The Family) Bill 2023, and the fortieth amendment of the Constitution (Care) Bill 2023.  </w:t>
      </w:r>
      <w:r w:rsidRPr="0008386F">
        <w:rPr>
          <w:rFonts w:ascii="Georgia" w:hAnsi="Georgia" w:cs="Arial"/>
          <w:color w:val="002060"/>
          <w:shd w:val="clear" w:color="auto" w:fill="FFFFFF"/>
        </w:rPr>
        <w:t xml:space="preserve">The referendums </w:t>
      </w:r>
      <w:r>
        <w:rPr>
          <w:rFonts w:ascii="Georgia" w:hAnsi="Georgia" w:cs="Arial"/>
          <w:color w:val="002060"/>
          <w:shd w:val="clear" w:color="auto" w:fill="FFFFFF"/>
        </w:rPr>
        <w:t>for both proposed amendments were</w:t>
      </w:r>
      <w:r w:rsidRPr="0008386F">
        <w:rPr>
          <w:rFonts w:ascii="Georgia" w:hAnsi="Georgia" w:cs="Arial"/>
          <w:color w:val="002060"/>
          <w:shd w:val="clear" w:color="auto" w:fill="FFFFFF"/>
        </w:rPr>
        <w:t xml:space="preserve"> held on 8 March 2024.</w:t>
      </w:r>
      <w:r>
        <w:rPr>
          <w:rFonts w:ascii="Georgia" w:hAnsi="Georgia" w:cs="Arial"/>
          <w:color w:val="002060"/>
          <w:shd w:val="clear" w:color="auto" w:fill="FFFFFF"/>
        </w:rPr>
        <w:t xml:space="preserve"> The draft report will be brought to the Commission in the coming months. </w:t>
      </w:r>
    </w:p>
    <w:p w14:paraId="6F0AEFB1" w14:textId="2C142A61" w:rsidR="00EB2081" w:rsidRPr="00EB2081" w:rsidRDefault="00EB2081" w:rsidP="00EB2081">
      <w:pPr>
        <w:spacing w:after="0" w:line="480" w:lineRule="auto"/>
        <w:rPr>
          <w:rFonts w:ascii="Georgia" w:eastAsia="Times New Roman" w:hAnsi="Georgia" w:cs="Times New Roman"/>
          <w:b/>
          <w:color w:val="002060"/>
          <w:sz w:val="24"/>
          <w:szCs w:val="24"/>
          <w:lang w:eastAsia="en-IE"/>
        </w:rPr>
      </w:pPr>
    </w:p>
    <w:p w14:paraId="3D9161E0" w14:textId="21554B9A" w:rsidR="00326B8C" w:rsidRPr="00C41F8B" w:rsidRDefault="00326B8C" w:rsidP="00326B8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9D77EA">
        <w:rPr>
          <w:rFonts w:ascii="Georgia" w:eastAsia="Times New Roman" w:hAnsi="Georgia"/>
          <w:b/>
          <w:color w:val="002060"/>
          <w:sz w:val="24"/>
          <w:szCs w:val="24"/>
        </w:rPr>
        <w:t xml:space="preserve">ACT Members’ self-assessment questionnaire </w:t>
      </w:r>
    </w:p>
    <w:p w14:paraId="6042267D" w14:textId="77777777" w:rsidR="00C41F8B" w:rsidRPr="009D77EA" w:rsidRDefault="00C41F8B" w:rsidP="00C41F8B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6EB4C66B" w14:textId="6F738497" w:rsidR="00326B8C" w:rsidRPr="006B0A1D" w:rsidRDefault="00326B8C" w:rsidP="00C41F8B">
      <w:pPr>
        <w:jc w:val="both"/>
        <w:rPr>
          <w:rFonts w:ascii="Georgia" w:hAnsi="Georgia"/>
          <w:color w:val="002060"/>
          <w:sz w:val="24"/>
          <w:szCs w:val="24"/>
        </w:rPr>
      </w:pPr>
      <w:r w:rsidRPr="006B0A1D">
        <w:rPr>
          <w:rFonts w:ascii="Georgia" w:hAnsi="Georgia"/>
          <w:color w:val="002060"/>
          <w:sz w:val="24"/>
          <w:szCs w:val="24"/>
        </w:rPr>
        <w:t xml:space="preserve">The Corporate Governance Standard for the Civil Service states that the Commission should </w:t>
      </w:r>
      <w:r w:rsidRPr="006B0A1D">
        <w:rPr>
          <w:rFonts w:ascii="Georgia" w:hAnsi="Georgia"/>
          <w:iCs/>
          <w:color w:val="002060"/>
          <w:sz w:val="24"/>
          <w:szCs w:val="24"/>
        </w:rPr>
        <w:t>arrange a periodic self-review/assessment to measure delivery, performance</w:t>
      </w:r>
      <w:r w:rsidR="006B0A1D" w:rsidRPr="006B0A1D">
        <w:rPr>
          <w:rFonts w:ascii="Georgia" w:hAnsi="Georgia"/>
          <w:iCs/>
          <w:color w:val="002060"/>
          <w:sz w:val="24"/>
          <w:szCs w:val="24"/>
        </w:rPr>
        <w:t xml:space="preserve"> and effectiveness against its Terms of R</w:t>
      </w:r>
      <w:r w:rsidRPr="006B0A1D">
        <w:rPr>
          <w:rFonts w:ascii="Georgia" w:hAnsi="Georgia"/>
          <w:iCs/>
          <w:color w:val="002060"/>
          <w:sz w:val="24"/>
          <w:szCs w:val="24"/>
        </w:rPr>
        <w:t xml:space="preserve">eference. </w:t>
      </w:r>
      <w:r w:rsidR="006B0A1D" w:rsidRPr="006B0A1D">
        <w:rPr>
          <w:rFonts w:ascii="Georgia" w:hAnsi="Georgia"/>
          <w:iCs/>
          <w:color w:val="002060"/>
          <w:sz w:val="24"/>
          <w:szCs w:val="24"/>
        </w:rPr>
        <w:t>Consideration was given to</w:t>
      </w:r>
      <w:r w:rsidRPr="006B0A1D">
        <w:rPr>
          <w:rFonts w:ascii="Georgia" w:hAnsi="Georgia"/>
          <w:iCs/>
          <w:color w:val="002060"/>
          <w:sz w:val="24"/>
          <w:szCs w:val="24"/>
        </w:rPr>
        <w:t xml:space="preserve"> the </w:t>
      </w:r>
      <w:r w:rsidR="006B0A1D" w:rsidRPr="006B0A1D">
        <w:rPr>
          <w:rFonts w:ascii="Georgia" w:hAnsi="Georgia"/>
          <w:iCs/>
          <w:color w:val="002060"/>
          <w:sz w:val="24"/>
          <w:szCs w:val="24"/>
        </w:rPr>
        <w:t xml:space="preserve">Commission members responses to the self-assessment questionnaire, </w:t>
      </w:r>
      <w:r w:rsidRPr="006B0A1D">
        <w:rPr>
          <w:rFonts w:ascii="Georgia" w:hAnsi="Georgia"/>
          <w:iCs/>
          <w:color w:val="002060"/>
          <w:sz w:val="24"/>
          <w:szCs w:val="24"/>
        </w:rPr>
        <w:t xml:space="preserve">which circulated late April. </w:t>
      </w:r>
      <w:r w:rsidR="006B0A1D" w:rsidRPr="006B0A1D">
        <w:rPr>
          <w:rFonts w:ascii="Georgia" w:hAnsi="Georgia"/>
          <w:iCs/>
          <w:color w:val="002060"/>
          <w:sz w:val="24"/>
          <w:szCs w:val="24"/>
        </w:rPr>
        <w:t xml:space="preserve">The Commission agreed to establish a working group </w:t>
      </w:r>
      <w:r w:rsidR="006B0A1D" w:rsidRPr="006B0A1D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to assist members understand how the Commission is performing and to identify key areas for further development. This working group will </w:t>
      </w:r>
      <w:r w:rsidR="009D77EA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hold its first meeting</w:t>
      </w:r>
      <w:r w:rsidR="006B0A1D" w:rsidRPr="006B0A1D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 in the coming weeks. </w:t>
      </w:r>
    </w:p>
    <w:p w14:paraId="24398715" w14:textId="052911F9" w:rsidR="00326B8C" w:rsidRPr="009D77EA" w:rsidRDefault="00326B8C" w:rsidP="009D77EA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74A6A9E0" w14:textId="1004BEE6" w:rsidR="00326B8C" w:rsidRPr="00C41F8B" w:rsidRDefault="00326B8C" w:rsidP="00326B8C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6B0A1D"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>Finance and HR update</w:t>
      </w:r>
    </w:p>
    <w:p w14:paraId="211C377A" w14:textId="77777777" w:rsidR="00C41F8B" w:rsidRPr="00C41F8B" w:rsidRDefault="00C41F8B" w:rsidP="00C41F8B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24F2888D" w14:textId="02E23A56" w:rsidR="00C41F8B" w:rsidRPr="00C41F8B" w:rsidRDefault="00C41F8B" w:rsidP="00C41F8B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 w:rsidRPr="00C41F8B">
        <w:rPr>
          <w:rFonts w:ascii="Georgia" w:hAnsi="Georgia"/>
          <w:color w:val="002060"/>
          <w:sz w:val="24"/>
          <w:szCs w:val="24"/>
        </w:rPr>
        <w:t xml:space="preserve">A financial overview and report for Q1 of 2024 was provided to the Commission. Commission members also received a briefing for Q1 2024 Human Resources priorities, which included an update on current and next phase recruitment, learning and development and wellness of staff.  </w:t>
      </w:r>
    </w:p>
    <w:p w14:paraId="53B07351" w14:textId="5EEB4CF1" w:rsidR="00DC60FC" w:rsidRPr="00696994" w:rsidRDefault="00DC60FC" w:rsidP="00DC60FC">
      <w:pPr>
        <w:pStyle w:val="s8"/>
        <w:spacing w:before="0" w:beforeAutospacing="0" w:after="0" w:afterAutospacing="0"/>
        <w:rPr>
          <w:color w:val="002060"/>
        </w:rPr>
      </w:pPr>
    </w:p>
    <w:p w14:paraId="6EC5B131" w14:textId="77777777" w:rsidR="00BD56C6" w:rsidRDefault="00BD56C6" w:rsidP="001A6C77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53F21CB" w14:textId="58FBCB33" w:rsidR="00CA1351" w:rsidRDefault="00DC60FC" w:rsidP="00CA1351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>AOB – Research Programme Update</w:t>
      </w:r>
    </w:p>
    <w:p w14:paraId="4EAF556B" w14:textId="77777777" w:rsidR="00C41F8B" w:rsidRDefault="00C41F8B" w:rsidP="00C41F8B">
      <w:pPr>
        <w:pStyle w:val="ListParagraph"/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</w:p>
    <w:p w14:paraId="05D440D7" w14:textId="198E5D12" w:rsidR="009D77EA" w:rsidRPr="00C41F8B" w:rsidRDefault="009D77EA" w:rsidP="00C41F8B">
      <w:pPr>
        <w:spacing w:after="0" w:line="288" w:lineRule="auto"/>
        <w:jc w:val="both"/>
        <w:rPr>
          <w:rFonts w:ascii="Georgia" w:hAnsi="Georgia" w:cs="Arial"/>
          <w:color w:val="002060"/>
          <w:sz w:val="24"/>
          <w:szCs w:val="24"/>
          <w:shd w:val="clear" w:color="auto" w:fill="FFFFFF"/>
        </w:rPr>
      </w:pPr>
      <w:r w:rsidRPr="00C41F8B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The Commission were updated on the work of the ACT Research Advisory Group (RAG)</w:t>
      </w:r>
      <w:r w:rsidR="00C41F8B" w:rsidRPr="00C41F8B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, and the </w:t>
      </w:r>
      <w:r w:rsidR="00C41F8B">
        <w:rPr>
          <w:rFonts w:ascii="Georgia" w:hAnsi="Georgia" w:cs="Arial"/>
          <w:color w:val="002060"/>
          <w:sz w:val="24"/>
          <w:szCs w:val="24"/>
          <w:shd w:val="clear" w:color="auto" w:fill="FFFFFF"/>
        </w:rPr>
        <w:t xml:space="preserve">development of the </w:t>
      </w:r>
      <w:r w:rsidR="00C41F8B" w:rsidRPr="00C41F8B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draft Research Programme, which will be brought to the C</w:t>
      </w:r>
      <w:r w:rsidR="00C41F8B">
        <w:rPr>
          <w:rFonts w:ascii="Georgia" w:hAnsi="Georgia" w:cs="Arial"/>
          <w:color w:val="002060"/>
          <w:sz w:val="24"/>
          <w:szCs w:val="24"/>
          <w:shd w:val="clear" w:color="auto" w:fill="FFFFFF"/>
        </w:rPr>
        <w:t>ommission in the coming weeks.</w:t>
      </w:r>
    </w:p>
    <w:p w14:paraId="3B8B63F7" w14:textId="4B40066D" w:rsidR="0027427E" w:rsidRPr="002D64CF" w:rsidRDefault="0027427E" w:rsidP="002D64CF">
      <w:p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</w:p>
    <w:p w14:paraId="474240A2" w14:textId="584FC7EB" w:rsidR="00DC60FC" w:rsidRDefault="00DC60FC" w:rsidP="00DC60FC">
      <w:pPr>
        <w:pStyle w:val="ListParagraph"/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7B561D5" w14:textId="73FDBF82" w:rsidR="00DC60FC" w:rsidRPr="00C41F8B" w:rsidRDefault="00DC60FC" w:rsidP="00DC60FC">
      <w:pPr>
        <w:pStyle w:val="ListParagraph"/>
        <w:numPr>
          <w:ilvl w:val="0"/>
          <w:numId w:val="14"/>
        </w:numPr>
        <w:spacing w:after="0" w:line="288" w:lineRule="auto"/>
        <w:jc w:val="both"/>
        <w:rPr>
          <w:rFonts w:ascii="Georgia" w:hAnsi="Georgia"/>
          <w:b/>
          <w:color w:val="002060"/>
          <w:sz w:val="24"/>
          <w:szCs w:val="24"/>
        </w:rPr>
      </w:pPr>
      <w:r w:rsidRPr="00DC60FC">
        <w:rPr>
          <w:rFonts w:ascii="Georgia" w:eastAsia="Times New Roman" w:hAnsi="Georgia"/>
          <w:b/>
          <w:color w:val="002060"/>
          <w:sz w:val="24"/>
          <w:szCs w:val="24"/>
        </w:rPr>
        <w:t>Appeal against National Party registration decision</w:t>
      </w:r>
    </w:p>
    <w:p w14:paraId="68A8D1D7" w14:textId="77777777" w:rsidR="00C41F8B" w:rsidRPr="00C41F8B" w:rsidRDefault="00C41F8B" w:rsidP="00C41F8B">
      <w:pPr>
        <w:pStyle w:val="ListParagraph"/>
        <w:spacing w:after="0" w:line="288" w:lineRule="auto"/>
        <w:jc w:val="both"/>
        <w:rPr>
          <w:rFonts w:ascii="Georgia" w:hAnsi="Georgia"/>
          <w:b/>
          <w:color w:val="002060"/>
          <w:sz w:val="24"/>
          <w:szCs w:val="24"/>
        </w:rPr>
      </w:pPr>
    </w:p>
    <w:p w14:paraId="7FBB4005" w14:textId="094DB464" w:rsidR="00C41F8B" w:rsidRPr="00C41F8B" w:rsidRDefault="00C41F8B" w:rsidP="00C41F8B">
      <w:pPr>
        <w:pStyle w:val="s8"/>
        <w:spacing w:before="0" w:beforeAutospacing="0" w:after="0" w:afterAutospacing="0"/>
        <w:rPr>
          <w:rFonts w:ascii="Georgia" w:hAnsi="Georgia"/>
          <w:b/>
          <w:color w:val="002060"/>
        </w:rPr>
      </w:pPr>
      <w:r w:rsidRPr="00696994">
        <w:rPr>
          <w:rStyle w:val="s11"/>
          <w:rFonts w:ascii="Georgia" w:hAnsi="Georgia"/>
          <w:color w:val="002060"/>
        </w:rPr>
        <w:t xml:space="preserve">Commission members </w:t>
      </w:r>
      <w:r w:rsidR="0075044A">
        <w:rPr>
          <w:rStyle w:val="s11"/>
          <w:rFonts w:ascii="Georgia" w:hAnsi="Georgia"/>
          <w:color w:val="002060"/>
        </w:rPr>
        <w:t>considered an</w:t>
      </w:r>
      <w:r>
        <w:rPr>
          <w:rStyle w:val="s11"/>
          <w:rFonts w:ascii="Georgia" w:hAnsi="Georgia"/>
          <w:color w:val="002060"/>
        </w:rPr>
        <w:t xml:space="preserve"> appeal </w:t>
      </w:r>
      <w:r w:rsidR="0075044A">
        <w:rPr>
          <w:rStyle w:val="s11"/>
          <w:rFonts w:ascii="Georgia" w:hAnsi="Georgia"/>
          <w:color w:val="002060"/>
        </w:rPr>
        <w:t>received on 30</w:t>
      </w:r>
      <w:r w:rsidR="0075044A" w:rsidRPr="0075044A">
        <w:rPr>
          <w:rStyle w:val="s11"/>
          <w:rFonts w:ascii="Georgia" w:hAnsi="Georgia"/>
          <w:color w:val="002060"/>
          <w:vertAlign w:val="superscript"/>
        </w:rPr>
        <w:t>th</w:t>
      </w:r>
      <w:r w:rsidR="0075044A">
        <w:rPr>
          <w:rStyle w:val="s11"/>
          <w:rFonts w:ascii="Georgia" w:hAnsi="Georgia"/>
          <w:color w:val="002060"/>
        </w:rPr>
        <w:t xml:space="preserve"> April 2024 </w:t>
      </w:r>
      <w:r>
        <w:rPr>
          <w:rStyle w:val="s11"/>
          <w:rFonts w:ascii="Georgia" w:hAnsi="Georgia"/>
          <w:color w:val="002060"/>
        </w:rPr>
        <w:t xml:space="preserve">against the National Party registration decision. This matter will be further considered </w:t>
      </w:r>
      <w:r w:rsidR="0075044A">
        <w:rPr>
          <w:rStyle w:val="s11"/>
          <w:rFonts w:ascii="Georgia" w:hAnsi="Georgia"/>
          <w:color w:val="002060"/>
        </w:rPr>
        <w:t xml:space="preserve">by the Commission </w:t>
      </w:r>
      <w:r>
        <w:rPr>
          <w:rStyle w:val="s11"/>
          <w:rFonts w:ascii="Georgia" w:hAnsi="Georgia"/>
          <w:color w:val="002060"/>
        </w:rPr>
        <w:t xml:space="preserve">in the coming weeks. </w:t>
      </w:r>
    </w:p>
    <w:p w14:paraId="262251AA" w14:textId="39797449" w:rsidR="00DC60FC" w:rsidRPr="00DC60FC" w:rsidRDefault="00DC60FC" w:rsidP="00DC60FC">
      <w:p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 xml:space="preserve"> </w:t>
      </w:r>
    </w:p>
    <w:p w14:paraId="609C3514" w14:textId="68A0132B" w:rsidR="001A7CEE" w:rsidRDefault="001A7CEE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3DDAFA17" w14:textId="77777777" w:rsidR="00C41F8B" w:rsidRPr="00A82008" w:rsidRDefault="00C41F8B" w:rsidP="00A82008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A82008">
        <w:rPr>
          <w:rFonts w:ascii="Georgia" w:hAnsi="Georgia"/>
          <w:b/>
          <w:color w:val="002060"/>
          <w:sz w:val="24"/>
          <w:szCs w:val="24"/>
        </w:rPr>
        <w:t>Date of next meeting – 13</w:t>
      </w:r>
      <w:r w:rsidRPr="00A82008">
        <w:rPr>
          <w:rFonts w:ascii="Georgia" w:hAnsi="Georgia"/>
          <w:b/>
          <w:color w:val="002060"/>
          <w:sz w:val="24"/>
          <w:szCs w:val="24"/>
          <w:vertAlign w:val="superscript"/>
        </w:rPr>
        <w:t>th</w:t>
      </w:r>
      <w:r w:rsidRPr="00A82008">
        <w:rPr>
          <w:rFonts w:ascii="Georgia" w:hAnsi="Georgia"/>
          <w:b/>
          <w:color w:val="002060"/>
          <w:sz w:val="24"/>
          <w:szCs w:val="24"/>
        </w:rPr>
        <w:t xml:space="preserve"> June 2024</w:t>
      </w:r>
    </w:p>
    <w:p w14:paraId="600C55D3" w14:textId="71CC479C" w:rsidR="002D64CF" w:rsidRDefault="002D64CF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44E41133" w14:textId="34547CA7" w:rsidR="002D64CF" w:rsidRDefault="002D64CF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283ECFA9" w14:textId="1487DE7D" w:rsidR="002D64CF" w:rsidRDefault="002D64CF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3B6F1C61" w14:textId="77777777" w:rsidR="0075044A" w:rsidRPr="00C94602" w:rsidRDefault="0075044A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4566D344" w14:textId="671BF563" w:rsidR="00A5262F" w:rsidRPr="00C94602" w:rsidRDefault="0027427E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_________________</w:t>
      </w:r>
    </w:p>
    <w:p w14:paraId="7E2C3403" w14:textId="4A15D214" w:rsidR="007F032B" w:rsidRPr="00C94602" w:rsidRDefault="007F032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Ms. Justice Marie Baker</w:t>
      </w:r>
      <w:r w:rsidR="00D17385">
        <w:rPr>
          <w:rFonts w:ascii="Georgia" w:hAnsi="Georgia"/>
          <w:color w:val="002060"/>
          <w:sz w:val="24"/>
          <w:szCs w:val="24"/>
        </w:rPr>
        <w:t xml:space="preserve"> (signed)</w:t>
      </w:r>
      <w:bookmarkStart w:id="0" w:name="_GoBack"/>
      <w:bookmarkEnd w:id="0"/>
    </w:p>
    <w:p w14:paraId="5AB83AC6" w14:textId="0EA77A39" w:rsidR="002459BA" w:rsidRPr="00C94602" w:rsidRDefault="00504CE2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Chairperson</w:t>
      </w:r>
    </w:p>
    <w:sectPr w:rsidR="002459BA" w:rsidRPr="00C94602" w:rsidSect="0020348A">
      <w:headerReference w:type="default" r:id="rId9"/>
      <w:footerReference w:type="default" r:id="rId10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7EBAD" w14:textId="77777777" w:rsidR="005375F3" w:rsidRDefault="005375F3" w:rsidP="003D0191">
      <w:pPr>
        <w:spacing w:after="0" w:line="240" w:lineRule="auto"/>
      </w:pPr>
      <w:r>
        <w:separator/>
      </w:r>
    </w:p>
  </w:endnote>
  <w:endnote w:type="continuationSeparator" w:id="0">
    <w:p w14:paraId="28AA210F" w14:textId="77777777" w:rsidR="005375F3" w:rsidRDefault="005375F3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6C5067E1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73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DEC97" w14:textId="77777777" w:rsidR="005375F3" w:rsidRDefault="005375F3" w:rsidP="003D0191">
      <w:pPr>
        <w:spacing w:after="0" w:line="240" w:lineRule="auto"/>
      </w:pPr>
      <w:r>
        <w:separator/>
      </w:r>
    </w:p>
  </w:footnote>
  <w:footnote w:type="continuationSeparator" w:id="0">
    <w:p w14:paraId="36A01306" w14:textId="77777777" w:rsidR="005375F3" w:rsidRDefault="005375F3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1D9F21F7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5F24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A3883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0340"/>
    <w:multiLevelType w:val="hybridMultilevel"/>
    <w:tmpl w:val="DF62781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141B3"/>
    <w:multiLevelType w:val="hybridMultilevel"/>
    <w:tmpl w:val="56626962"/>
    <w:lvl w:ilvl="0" w:tplc="B9B609B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54EA1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570C2"/>
    <w:multiLevelType w:val="hybridMultilevel"/>
    <w:tmpl w:val="396419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467A0"/>
    <w:multiLevelType w:val="hybridMultilevel"/>
    <w:tmpl w:val="608078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E6276"/>
    <w:multiLevelType w:val="hybridMultilevel"/>
    <w:tmpl w:val="33B2B3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C45268"/>
    <w:multiLevelType w:val="hybridMultilevel"/>
    <w:tmpl w:val="F2205B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9463D"/>
    <w:multiLevelType w:val="hybridMultilevel"/>
    <w:tmpl w:val="915AA8D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C7757"/>
    <w:multiLevelType w:val="hybridMultilevel"/>
    <w:tmpl w:val="C076FDAA"/>
    <w:lvl w:ilvl="0" w:tplc="18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542B2"/>
    <w:multiLevelType w:val="hybridMultilevel"/>
    <w:tmpl w:val="65BAF648"/>
    <w:lvl w:ilvl="0" w:tplc="01964DF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B3151"/>
    <w:multiLevelType w:val="hybridMultilevel"/>
    <w:tmpl w:val="099C262A"/>
    <w:lvl w:ilvl="0" w:tplc="8AE2A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A0B0F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D031ED"/>
    <w:multiLevelType w:val="hybridMultilevel"/>
    <w:tmpl w:val="8A58C6B8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604B5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8"/>
  </w:num>
  <w:num w:numId="4">
    <w:abstractNumId w:val="23"/>
  </w:num>
  <w:num w:numId="5">
    <w:abstractNumId w:val="32"/>
  </w:num>
  <w:num w:numId="6">
    <w:abstractNumId w:val="26"/>
  </w:num>
  <w:num w:numId="7">
    <w:abstractNumId w:val="16"/>
  </w:num>
  <w:num w:numId="8">
    <w:abstractNumId w:val="2"/>
  </w:num>
  <w:num w:numId="9">
    <w:abstractNumId w:val="30"/>
  </w:num>
  <w:num w:numId="10">
    <w:abstractNumId w:val="14"/>
  </w:num>
  <w:num w:numId="11">
    <w:abstractNumId w:val="15"/>
  </w:num>
  <w:num w:numId="12">
    <w:abstractNumId w:val="21"/>
  </w:num>
  <w:num w:numId="13">
    <w:abstractNumId w:val="6"/>
  </w:num>
  <w:num w:numId="14">
    <w:abstractNumId w:val="8"/>
  </w:num>
  <w:num w:numId="15">
    <w:abstractNumId w:val="17"/>
  </w:num>
  <w:num w:numId="16">
    <w:abstractNumId w:val="9"/>
  </w:num>
  <w:num w:numId="17">
    <w:abstractNumId w:val="10"/>
  </w:num>
  <w:num w:numId="18">
    <w:abstractNumId w:val="5"/>
  </w:num>
  <w:num w:numId="19">
    <w:abstractNumId w:val="20"/>
  </w:num>
  <w:num w:numId="20">
    <w:abstractNumId w:val="29"/>
  </w:num>
  <w:num w:numId="21">
    <w:abstractNumId w:val="25"/>
  </w:num>
  <w:num w:numId="22">
    <w:abstractNumId w:val="33"/>
  </w:num>
  <w:num w:numId="23">
    <w:abstractNumId w:val="1"/>
  </w:num>
  <w:num w:numId="24">
    <w:abstractNumId w:val="12"/>
  </w:num>
  <w:num w:numId="25">
    <w:abstractNumId w:val="18"/>
  </w:num>
  <w:num w:numId="26">
    <w:abstractNumId w:val="13"/>
  </w:num>
  <w:num w:numId="27">
    <w:abstractNumId w:val="11"/>
  </w:num>
  <w:num w:numId="28">
    <w:abstractNumId w:val="3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2"/>
  </w:num>
  <w:num w:numId="32">
    <w:abstractNumId w:val="4"/>
  </w:num>
  <w:num w:numId="33">
    <w:abstractNumId w:val="24"/>
  </w:num>
  <w:num w:numId="34">
    <w:abstractNumId w:val="3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518B"/>
    <w:rsid w:val="00007A6E"/>
    <w:rsid w:val="00011EB8"/>
    <w:rsid w:val="00015A98"/>
    <w:rsid w:val="00023DD9"/>
    <w:rsid w:val="00030AAF"/>
    <w:rsid w:val="00055F27"/>
    <w:rsid w:val="0006233B"/>
    <w:rsid w:val="0006329F"/>
    <w:rsid w:val="0008386F"/>
    <w:rsid w:val="00084B36"/>
    <w:rsid w:val="00087E27"/>
    <w:rsid w:val="00097499"/>
    <w:rsid w:val="000977ED"/>
    <w:rsid w:val="000A6B0B"/>
    <w:rsid w:val="000B47AA"/>
    <w:rsid w:val="000C186F"/>
    <w:rsid w:val="000D7F7A"/>
    <w:rsid w:val="000F64DF"/>
    <w:rsid w:val="00103868"/>
    <w:rsid w:val="001143B4"/>
    <w:rsid w:val="00120D95"/>
    <w:rsid w:val="00132F40"/>
    <w:rsid w:val="00134C67"/>
    <w:rsid w:val="00136FBB"/>
    <w:rsid w:val="0014448B"/>
    <w:rsid w:val="00145854"/>
    <w:rsid w:val="0015570D"/>
    <w:rsid w:val="001666BA"/>
    <w:rsid w:val="00176907"/>
    <w:rsid w:val="00180F05"/>
    <w:rsid w:val="001945FA"/>
    <w:rsid w:val="001A1A8B"/>
    <w:rsid w:val="001A2A3E"/>
    <w:rsid w:val="001A6C77"/>
    <w:rsid w:val="001A7AE1"/>
    <w:rsid w:val="001A7CEE"/>
    <w:rsid w:val="001B707B"/>
    <w:rsid w:val="001C24E0"/>
    <w:rsid w:val="001C4C9F"/>
    <w:rsid w:val="001E5881"/>
    <w:rsid w:val="002024BE"/>
    <w:rsid w:val="0020348A"/>
    <w:rsid w:val="00205334"/>
    <w:rsid w:val="0020700B"/>
    <w:rsid w:val="0022402B"/>
    <w:rsid w:val="002245EB"/>
    <w:rsid w:val="002278EB"/>
    <w:rsid w:val="00227C42"/>
    <w:rsid w:val="002459BA"/>
    <w:rsid w:val="00247086"/>
    <w:rsid w:val="002528AD"/>
    <w:rsid w:val="00256041"/>
    <w:rsid w:val="00256C35"/>
    <w:rsid w:val="002601ED"/>
    <w:rsid w:val="00262DC5"/>
    <w:rsid w:val="00273971"/>
    <w:rsid w:val="0027427E"/>
    <w:rsid w:val="00274746"/>
    <w:rsid w:val="002927B7"/>
    <w:rsid w:val="002935CE"/>
    <w:rsid w:val="002A1565"/>
    <w:rsid w:val="002A197A"/>
    <w:rsid w:val="002A6CB2"/>
    <w:rsid w:val="002B6DE3"/>
    <w:rsid w:val="002D0614"/>
    <w:rsid w:val="002D0842"/>
    <w:rsid w:val="002D324A"/>
    <w:rsid w:val="002D64CF"/>
    <w:rsid w:val="002E0189"/>
    <w:rsid w:val="002F324D"/>
    <w:rsid w:val="002F3FCB"/>
    <w:rsid w:val="002F4400"/>
    <w:rsid w:val="002F78BE"/>
    <w:rsid w:val="00326077"/>
    <w:rsid w:val="00326B8C"/>
    <w:rsid w:val="00330EE6"/>
    <w:rsid w:val="00343AC2"/>
    <w:rsid w:val="003757D1"/>
    <w:rsid w:val="003A0BDF"/>
    <w:rsid w:val="003B05E4"/>
    <w:rsid w:val="003B0C2D"/>
    <w:rsid w:val="003B3231"/>
    <w:rsid w:val="003D0191"/>
    <w:rsid w:val="003E7B81"/>
    <w:rsid w:val="003F0555"/>
    <w:rsid w:val="003F070A"/>
    <w:rsid w:val="003F2B17"/>
    <w:rsid w:val="0040757F"/>
    <w:rsid w:val="004210E0"/>
    <w:rsid w:val="00437BC9"/>
    <w:rsid w:val="00442C35"/>
    <w:rsid w:val="00443114"/>
    <w:rsid w:val="004528AA"/>
    <w:rsid w:val="0045446C"/>
    <w:rsid w:val="00455813"/>
    <w:rsid w:val="00476E17"/>
    <w:rsid w:val="00482B20"/>
    <w:rsid w:val="00487FBA"/>
    <w:rsid w:val="004B22A0"/>
    <w:rsid w:val="004C06A8"/>
    <w:rsid w:val="004C25BC"/>
    <w:rsid w:val="004D0081"/>
    <w:rsid w:val="004E39E3"/>
    <w:rsid w:val="004F29BE"/>
    <w:rsid w:val="004F6B21"/>
    <w:rsid w:val="00501DEE"/>
    <w:rsid w:val="00504CE2"/>
    <w:rsid w:val="005076CF"/>
    <w:rsid w:val="00510EC4"/>
    <w:rsid w:val="00520DDB"/>
    <w:rsid w:val="00531C3F"/>
    <w:rsid w:val="005375F3"/>
    <w:rsid w:val="005406C7"/>
    <w:rsid w:val="00560782"/>
    <w:rsid w:val="00564DC6"/>
    <w:rsid w:val="00565873"/>
    <w:rsid w:val="00566128"/>
    <w:rsid w:val="00566B60"/>
    <w:rsid w:val="00566CD5"/>
    <w:rsid w:val="005739D4"/>
    <w:rsid w:val="00576EB8"/>
    <w:rsid w:val="005822A7"/>
    <w:rsid w:val="00584E7A"/>
    <w:rsid w:val="00587AA6"/>
    <w:rsid w:val="005A12DA"/>
    <w:rsid w:val="005A2F1F"/>
    <w:rsid w:val="005B174C"/>
    <w:rsid w:val="005B68CA"/>
    <w:rsid w:val="005C61AD"/>
    <w:rsid w:val="005D1A60"/>
    <w:rsid w:val="005D6A2F"/>
    <w:rsid w:val="006065B8"/>
    <w:rsid w:val="006275A1"/>
    <w:rsid w:val="00634020"/>
    <w:rsid w:val="006649BA"/>
    <w:rsid w:val="00670655"/>
    <w:rsid w:val="00674B45"/>
    <w:rsid w:val="00681566"/>
    <w:rsid w:val="00696994"/>
    <w:rsid w:val="00697B95"/>
    <w:rsid w:val="006B0A1D"/>
    <w:rsid w:val="006B3AB9"/>
    <w:rsid w:val="006B4CB5"/>
    <w:rsid w:val="006B7919"/>
    <w:rsid w:val="006C08B5"/>
    <w:rsid w:val="006C0A42"/>
    <w:rsid w:val="006C24F2"/>
    <w:rsid w:val="006D48E5"/>
    <w:rsid w:val="006E469C"/>
    <w:rsid w:val="006F1C80"/>
    <w:rsid w:val="006F1D47"/>
    <w:rsid w:val="006F2B8F"/>
    <w:rsid w:val="00706BA8"/>
    <w:rsid w:val="00715D4A"/>
    <w:rsid w:val="007251AE"/>
    <w:rsid w:val="0073108B"/>
    <w:rsid w:val="00735999"/>
    <w:rsid w:val="00743474"/>
    <w:rsid w:val="00743CE3"/>
    <w:rsid w:val="0075044A"/>
    <w:rsid w:val="00757F50"/>
    <w:rsid w:val="00760A9F"/>
    <w:rsid w:val="007647A0"/>
    <w:rsid w:val="00765984"/>
    <w:rsid w:val="007721F7"/>
    <w:rsid w:val="00780813"/>
    <w:rsid w:val="00781ADD"/>
    <w:rsid w:val="0078601C"/>
    <w:rsid w:val="0079232E"/>
    <w:rsid w:val="00793DE5"/>
    <w:rsid w:val="007A27B6"/>
    <w:rsid w:val="007A5120"/>
    <w:rsid w:val="007A5859"/>
    <w:rsid w:val="007B43E1"/>
    <w:rsid w:val="007D43BA"/>
    <w:rsid w:val="007F032B"/>
    <w:rsid w:val="007F2251"/>
    <w:rsid w:val="007F5109"/>
    <w:rsid w:val="007F6EF3"/>
    <w:rsid w:val="00831D74"/>
    <w:rsid w:val="008444DA"/>
    <w:rsid w:val="00853E3C"/>
    <w:rsid w:val="008605D2"/>
    <w:rsid w:val="00862CEB"/>
    <w:rsid w:val="00863725"/>
    <w:rsid w:val="00872C6F"/>
    <w:rsid w:val="00877983"/>
    <w:rsid w:val="00882A45"/>
    <w:rsid w:val="00893A75"/>
    <w:rsid w:val="008A2916"/>
    <w:rsid w:val="008C0129"/>
    <w:rsid w:val="008C01A2"/>
    <w:rsid w:val="008C48E1"/>
    <w:rsid w:val="008D6BA6"/>
    <w:rsid w:val="008E5D5B"/>
    <w:rsid w:val="008F270D"/>
    <w:rsid w:val="008F3999"/>
    <w:rsid w:val="008F7115"/>
    <w:rsid w:val="009153F8"/>
    <w:rsid w:val="00917E00"/>
    <w:rsid w:val="0092058C"/>
    <w:rsid w:val="009330EE"/>
    <w:rsid w:val="00937766"/>
    <w:rsid w:val="009479D9"/>
    <w:rsid w:val="009534F2"/>
    <w:rsid w:val="00957792"/>
    <w:rsid w:val="00964C83"/>
    <w:rsid w:val="0097272A"/>
    <w:rsid w:val="009A47E2"/>
    <w:rsid w:val="009B08C9"/>
    <w:rsid w:val="009B158A"/>
    <w:rsid w:val="009B421D"/>
    <w:rsid w:val="009C1C5D"/>
    <w:rsid w:val="009C327D"/>
    <w:rsid w:val="009C60D7"/>
    <w:rsid w:val="009D0046"/>
    <w:rsid w:val="009D77EA"/>
    <w:rsid w:val="009E2E58"/>
    <w:rsid w:val="009E6984"/>
    <w:rsid w:val="009F1D34"/>
    <w:rsid w:val="009F5159"/>
    <w:rsid w:val="009F6EC1"/>
    <w:rsid w:val="00A0033C"/>
    <w:rsid w:val="00A11D6C"/>
    <w:rsid w:val="00A12307"/>
    <w:rsid w:val="00A14839"/>
    <w:rsid w:val="00A14E73"/>
    <w:rsid w:val="00A247D8"/>
    <w:rsid w:val="00A40BE2"/>
    <w:rsid w:val="00A439A1"/>
    <w:rsid w:val="00A4554B"/>
    <w:rsid w:val="00A462AA"/>
    <w:rsid w:val="00A5262F"/>
    <w:rsid w:val="00A60DF7"/>
    <w:rsid w:val="00A65403"/>
    <w:rsid w:val="00A74E14"/>
    <w:rsid w:val="00A82008"/>
    <w:rsid w:val="00A82FB5"/>
    <w:rsid w:val="00A84439"/>
    <w:rsid w:val="00AA3CBF"/>
    <w:rsid w:val="00AB627C"/>
    <w:rsid w:val="00AC3DB2"/>
    <w:rsid w:val="00AC537B"/>
    <w:rsid w:val="00AE154E"/>
    <w:rsid w:val="00AE24FD"/>
    <w:rsid w:val="00AF2BFE"/>
    <w:rsid w:val="00B027A2"/>
    <w:rsid w:val="00B4348C"/>
    <w:rsid w:val="00B463AB"/>
    <w:rsid w:val="00B471C2"/>
    <w:rsid w:val="00B477BD"/>
    <w:rsid w:val="00B62C27"/>
    <w:rsid w:val="00B735DD"/>
    <w:rsid w:val="00BA0A0C"/>
    <w:rsid w:val="00BA0BB0"/>
    <w:rsid w:val="00BB37DE"/>
    <w:rsid w:val="00BB4A98"/>
    <w:rsid w:val="00BC1156"/>
    <w:rsid w:val="00BC4908"/>
    <w:rsid w:val="00BD4DE4"/>
    <w:rsid w:val="00BD56C6"/>
    <w:rsid w:val="00BE289B"/>
    <w:rsid w:val="00BF590C"/>
    <w:rsid w:val="00BF5A28"/>
    <w:rsid w:val="00C1041D"/>
    <w:rsid w:val="00C25E48"/>
    <w:rsid w:val="00C416C2"/>
    <w:rsid w:val="00C41F8B"/>
    <w:rsid w:val="00C54B42"/>
    <w:rsid w:val="00C570B9"/>
    <w:rsid w:val="00C71EFC"/>
    <w:rsid w:val="00C73488"/>
    <w:rsid w:val="00C9157A"/>
    <w:rsid w:val="00C94602"/>
    <w:rsid w:val="00C9594E"/>
    <w:rsid w:val="00CA1351"/>
    <w:rsid w:val="00CA4BF3"/>
    <w:rsid w:val="00CB7798"/>
    <w:rsid w:val="00CC03D3"/>
    <w:rsid w:val="00CC18F4"/>
    <w:rsid w:val="00CC408F"/>
    <w:rsid w:val="00CE560C"/>
    <w:rsid w:val="00CE6284"/>
    <w:rsid w:val="00CF23F8"/>
    <w:rsid w:val="00CF5EC1"/>
    <w:rsid w:val="00CF6291"/>
    <w:rsid w:val="00D115A4"/>
    <w:rsid w:val="00D12210"/>
    <w:rsid w:val="00D155BF"/>
    <w:rsid w:val="00D17385"/>
    <w:rsid w:val="00D24E5D"/>
    <w:rsid w:val="00D272DF"/>
    <w:rsid w:val="00D30DA1"/>
    <w:rsid w:val="00D4025B"/>
    <w:rsid w:val="00D41D6A"/>
    <w:rsid w:val="00D41FC5"/>
    <w:rsid w:val="00D52F15"/>
    <w:rsid w:val="00D574C9"/>
    <w:rsid w:val="00D636E4"/>
    <w:rsid w:val="00D64AD9"/>
    <w:rsid w:val="00D74F0A"/>
    <w:rsid w:val="00D769D2"/>
    <w:rsid w:val="00D82084"/>
    <w:rsid w:val="00D8378D"/>
    <w:rsid w:val="00D84FB9"/>
    <w:rsid w:val="00D91365"/>
    <w:rsid w:val="00D97097"/>
    <w:rsid w:val="00DA0B40"/>
    <w:rsid w:val="00DA4611"/>
    <w:rsid w:val="00DB23BC"/>
    <w:rsid w:val="00DC118A"/>
    <w:rsid w:val="00DC1C19"/>
    <w:rsid w:val="00DC60FC"/>
    <w:rsid w:val="00DC7470"/>
    <w:rsid w:val="00DD4D70"/>
    <w:rsid w:val="00DE0DFE"/>
    <w:rsid w:val="00DE2C93"/>
    <w:rsid w:val="00DE3B55"/>
    <w:rsid w:val="00DF0928"/>
    <w:rsid w:val="00DF5497"/>
    <w:rsid w:val="00DF5B97"/>
    <w:rsid w:val="00DF5C65"/>
    <w:rsid w:val="00E0042A"/>
    <w:rsid w:val="00E30E91"/>
    <w:rsid w:val="00E318D3"/>
    <w:rsid w:val="00E60D1A"/>
    <w:rsid w:val="00E65ACF"/>
    <w:rsid w:val="00E70549"/>
    <w:rsid w:val="00E7331C"/>
    <w:rsid w:val="00E76DC1"/>
    <w:rsid w:val="00E833B6"/>
    <w:rsid w:val="00E857E6"/>
    <w:rsid w:val="00E92011"/>
    <w:rsid w:val="00E94EFE"/>
    <w:rsid w:val="00E97435"/>
    <w:rsid w:val="00EA2D92"/>
    <w:rsid w:val="00EB2081"/>
    <w:rsid w:val="00EC29FE"/>
    <w:rsid w:val="00EC57A3"/>
    <w:rsid w:val="00ED27C5"/>
    <w:rsid w:val="00ED45BF"/>
    <w:rsid w:val="00EE090D"/>
    <w:rsid w:val="00EE094F"/>
    <w:rsid w:val="00EE5FF3"/>
    <w:rsid w:val="00EF6D27"/>
    <w:rsid w:val="00F06888"/>
    <w:rsid w:val="00F218BE"/>
    <w:rsid w:val="00F218C0"/>
    <w:rsid w:val="00F21A0B"/>
    <w:rsid w:val="00F272DB"/>
    <w:rsid w:val="00F31092"/>
    <w:rsid w:val="00F31F0A"/>
    <w:rsid w:val="00F3222B"/>
    <w:rsid w:val="00F349F9"/>
    <w:rsid w:val="00F354E8"/>
    <w:rsid w:val="00F36781"/>
    <w:rsid w:val="00F42B98"/>
    <w:rsid w:val="00F52117"/>
    <w:rsid w:val="00F533CC"/>
    <w:rsid w:val="00F61248"/>
    <w:rsid w:val="00F86873"/>
    <w:rsid w:val="00F965C1"/>
    <w:rsid w:val="00F9767C"/>
    <w:rsid w:val="00FA16C0"/>
    <w:rsid w:val="00FA1D4F"/>
    <w:rsid w:val="00FA6484"/>
    <w:rsid w:val="00FC0E6E"/>
    <w:rsid w:val="00FC718C"/>
    <w:rsid w:val="00FE5090"/>
    <w:rsid w:val="00FE5244"/>
    <w:rsid w:val="00FF5E19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BD5831"/>
  <w15:chartTrackingRefBased/>
  <w15:docId w15:val="{15C8EB39-17C9-4E53-9C8E-53529A1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34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331C"/>
    <w:rPr>
      <w:i/>
      <w:iCs/>
    </w:rPr>
  </w:style>
  <w:style w:type="paragraph" w:customStyle="1" w:styleId="Default">
    <w:name w:val="Default"/>
    <w:rsid w:val="00EE5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F5159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22402B"/>
  </w:style>
  <w:style w:type="table" w:customStyle="1" w:styleId="TableGrid1">
    <w:name w:val="Table Grid1"/>
    <w:basedOn w:val="TableNormal"/>
    <w:next w:val="TableGrid"/>
    <w:uiPriority w:val="39"/>
    <w:rsid w:val="00D64AD9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59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29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8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9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1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0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6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9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24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7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7A77-BFA9-454A-8BBE-87584FA2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dcterms:created xsi:type="dcterms:W3CDTF">2024-06-20T07:49:00Z</dcterms:created>
  <dcterms:modified xsi:type="dcterms:W3CDTF">2024-06-20T07:49:00Z</dcterms:modified>
</cp:coreProperties>
</file>