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8086" w14:textId="3F0C5DB7" w:rsidR="002A6CB2" w:rsidRPr="00504CE2" w:rsidRDefault="00757F50" w:rsidP="00504CE2">
      <w:pPr>
        <w:jc w:val="center"/>
      </w:pPr>
      <w:r w:rsidRPr="00DE574C">
        <w:rPr>
          <w:noProof/>
          <w:lang w:eastAsia="en-IE"/>
        </w:rPr>
        <w:drawing>
          <wp:inline distT="0" distB="0" distL="0" distR="0" wp14:anchorId="20F5A8B9" wp14:editId="5D51BC69">
            <wp:extent cx="3597980" cy="97025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9492" cy="1024592"/>
                    </a:xfrm>
                    <a:prstGeom prst="rect">
                      <a:avLst/>
                    </a:prstGeom>
                  </pic:spPr>
                </pic:pic>
              </a:graphicData>
            </a:graphic>
          </wp:inline>
        </w:drawing>
      </w:r>
    </w:p>
    <w:p w14:paraId="201476F2" w14:textId="77777777" w:rsidR="00FF79A5" w:rsidRPr="00735999" w:rsidRDefault="00FF79A5" w:rsidP="004B22A0">
      <w:pPr>
        <w:spacing w:after="0" w:line="288" w:lineRule="auto"/>
        <w:jc w:val="center"/>
        <w:rPr>
          <w:rFonts w:ascii="Georgia" w:hAnsi="Georgia"/>
          <w:b/>
          <w:color w:val="002060"/>
          <w:sz w:val="24"/>
          <w:szCs w:val="24"/>
        </w:rPr>
      </w:pPr>
      <w:r w:rsidRPr="00735999">
        <w:rPr>
          <w:rFonts w:ascii="Georgia" w:hAnsi="Georgia"/>
          <w:b/>
          <w:color w:val="002060"/>
          <w:sz w:val="24"/>
          <w:szCs w:val="24"/>
        </w:rPr>
        <w:t>Meeting of An Coimisiún Toghcháin (ACT), The Electoral Commission.</w:t>
      </w:r>
    </w:p>
    <w:p w14:paraId="4C23D6E3" w14:textId="77777777" w:rsidR="00FF79A5" w:rsidRPr="00735999" w:rsidRDefault="00FF79A5" w:rsidP="004B22A0">
      <w:pPr>
        <w:spacing w:after="0" w:line="288" w:lineRule="auto"/>
        <w:rPr>
          <w:rFonts w:ascii="Georgia" w:hAnsi="Georgia"/>
          <w:b/>
          <w:color w:val="002060"/>
          <w:sz w:val="24"/>
          <w:szCs w:val="24"/>
        </w:rPr>
      </w:pPr>
    </w:p>
    <w:p w14:paraId="3E3F2935" w14:textId="3AEE3D4A" w:rsidR="008F3999" w:rsidRPr="006C08B5" w:rsidRDefault="00DE0DFE" w:rsidP="008F3999">
      <w:pPr>
        <w:spacing w:after="0" w:line="288" w:lineRule="auto"/>
        <w:jc w:val="center"/>
        <w:rPr>
          <w:rFonts w:ascii="Georgia" w:hAnsi="Georgia"/>
          <w:b/>
          <w:color w:val="002060"/>
          <w:sz w:val="24"/>
          <w:szCs w:val="24"/>
        </w:rPr>
      </w:pPr>
      <w:r>
        <w:rPr>
          <w:rFonts w:ascii="Georgia" w:hAnsi="Georgia"/>
          <w:b/>
          <w:color w:val="002060"/>
          <w:sz w:val="24"/>
          <w:szCs w:val="24"/>
        </w:rPr>
        <w:t xml:space="preserve">Held in the </w:t>
      </w:r>
      <w:r w:rsidR="008F270D">
        <w:rPr>
          <w:rFonts w:ascii="Georgia" w:hAnsi="Georgia"/>
          <w:b/>
          <w:color w:val="002060"/>
          <w:sz w:val="24"/>
          <w:szCs w:val="24"/>
        </w:rPr>
        <w:t>ACT Boardroom</w:t>
      </w:r>
      <w:r w:rsidR="008F3999" w:rsidRPr="006C08B5">
        <w:rPr>
          <w:rFonts w:ascii="Georgia" w:hAnsi="Georgia"/>
          <w:b/>
          <w:color w:val="002060"/>
          <w:sz w:val="24"/>
          <w:szCs w:val="24"/>
        </w:rPr>
        <w:t xml:space="preserve">, </w:t>
      </w:r>
      <w:r w:rsidR="00015A98">
        <w:rPr>
          <w:rFonts w:ascii="Georgia" w:hAnsi="Georgia"/>
          <w:b/>
          <w:color w:val="002060"/>
          <w:sz w:val="24"/>
          <w:szCs w:val="24"/>
        </w:rPr>
        <w:t>Dublin Castle, 10</w:t>
      </w:r>
      <w:r w:rsidR="008F270D">
        <w:rPr>
          <w:rFonts w:ascii="Georgia" w:hAnsi="Georgia"/>
          <w:b/>
          <w:color w:val="002060"/>
          <w:sz w:val="24"/>
          <w:szCs w:val="24"/>
        </w:rPr>
        <w:t>.00</w:t>
      </w:r>
      <w:r w:rsidR="008F3999" w:rsidRPr="006C08B5">
        <w:rPr>
          <w:rFonts w:ascii="Georgia" w:hAnsi="Georgia"/>
          <w:b/>
          <w:color w:val="002060"/>
          <w:sz w:val="24"/>
          <w:szCs w:val="24"/>
        </w:rPr>
        <w:t xml:space="preserve">am – </w:t>
      </w:r>
      <w:r w:rsidR="004D13F9">
        <w:rPr>
          <w:rFonts w:ascii="Georgia" w:hAnsi="Georgia"/>
          <w:b/>
          <w:color w:val="002060"/>
          <w:sz w:val="24"/>
          <w:szCs w:val="24"/>
        </w:rPr>
        <w:t>11</w:t>
      </w:r>
      <w:r w:rsidR="004D13F9" w:rsidRPr="004D13F9">
        <w:rPr>
          <w:rFonts w:ascii="Georgia" w:hAnsi="Georgia"/>
          <w:b/>
          <w:color w:val="002060"/>
          <w:sz w:val="24"/>
          <w:szCs w:val="24"/>
          <w:vertAlign w:val="superscript"/>
        </w:rPr>
        <w:t>th</w:t>
      </w:r>
      <w:r w:rsidR="004D13F9">
        <w:rPr>
          <w:rFonts w:ascii="Georgia" w:hAnsi="Georgia"/>
          <w:b/>
          <w:color w:val="002060"/>
          <w:sz w:val="24"/>
          <w:szCs w:val="24"/>
        </w:rPr>
        <w:t xml:space="preserve"> July</w:t>
      </w:r>
      <w:r w:rsidR="008814C1">
        <w:rPr>
          <w:rFonts w:ascii="Georgia" w:hAnsi="Georgia"/>
          <w:b/>
          <w:color w:val="002060"/>
          <w:sz w:val="24"/>
          <w:szCs w:val="24"/>
        </w:rPr>
        <w:t xml:space="preserve"> 2024</w:t>
      </w:r>
    </w:p>
    <w:p w14:paraId="15C31AB9" w14:textId="77777777" w:rsidR="006C08B5" w:rsidRPr="00735999" w:rsidRDefault="006C08B5" w:rsidP="004B22A0">
      <w:pPr>
        <w:spacing w:after="0" w:line="288" w:lineRule="auto"/>
        <w:rPr>
          <w:rFonts w:ascii="Georgia" w:hAnsi="Georgia"/>
          <w:b/>
          <w:color w:val="222A35" w:themeColor="text2" w:themeShade="80"/>
          <w:sz w:val="24"/>
          <w:szCs w:val="24"/>
        </w:rPr>
      </w:pPr>
    </w:p>
    <w:p w14:paraId="43332F6E" w14:textId="77777777" w:rsidR="009B421D" w:rsidRPr="00437BC9" w:rsidRDefault="005D1A60" w:rsidP="004B22A0">
      <w:pPr>
        <w:spacing w:after="0" w:line="288" w:lineRule="auto"/>
        <w:rPr>
          <w:rFonts w:ascii="Georgia" w:hAnsi="Georgia"/>
          <w:i/>
          <w:color w:val="002060"/>
          <w:sz w:val="24"/>
          <w:szCs w:val="24"/>
        </w:rPr>
      </w:pPr>
      <w:r w:rsidRPr="00437BC9">
        <w:rPr>
          <w:rFonts w:ascii="Georgia" w:hAnsi="Georgia"/>
          <w:i/>
          <w:color w:val="002060"/>
          <w:sz w:val="24"/>
          <w:szCs w:val="24"/>
        </w:rPr>
        <w:t>In attendance</w:t>
      </w:r>
      <w:r w:rsidR="009B421D" w:rsidRPr="00437BC9">
        <w:rPr>
          <w:rFonts w:ascii="Georgia" w:hAnsi="Georgia"/>
          <w:i/>
          <w:color w:val="002060"/>
          <w:sz w:val="24"/>
          <w:szCs w:val="24"/>
        </w:rPr>
        <w:t>:</w:t>
      </w:r>
    </w:p>
    <w:p w14:paraId="64772EE6" w14:textId="18342547" w:rsidR="002459BA" w:rsidRPr="00437BC9" w:rsidRDefault="00FF79A5" w:rsidP="004B22A0">
      <w:pPr>
        <w:spacing w:after="0" w:line="288" w:lineRule="auto"/>
        <w:rPr>
          <w:rFonts w:ascii="Georgia" w:hAnsi="Georgia"/>
          <w:color w:val="002060"/>
          <w:sz w:val="24"/>
          <w:szCs w:val="24"/>
        </w:rPr>
      </w:pPr>
      <w:r w:rsidRPr="00437BC9">
        <w:rPr>
          <w:rFonts w:ascii="Georgia" w:hAnsi="Georgia"/>
          <w:color w:val="002060"/>
          <w:sz w:val="24"/>
          <w:szCs w:val="24"/>
        </w:rPr>
        <w:t>Justice Marie Baker (Chairperson), Maura Quinn</w:t>
      </w:r>
      <w:r w:rsidR="00437BC9" w:rsidRPr="00437BC9">
        <w:rPr>
          <w:rFonts w:ascii="Georgia" w:hAnsi="Georgia"/>
          <w:color w:val="002060"/>
          <w:sz w:val="24"/>
          <w:szCs w:val="24"/>
        </w:rPr>
        <w:t xml:space="preserve"> </w:t>
      </w:r>
      <w:r w:rsidRPr="00437BC9">
        <w:rPr>
          <w:rFonts w:ascii="Georgia" w:hAnsi="Georgia"/>
          <w:color w:val="002060"/>
          <w:sz w:val="24"/>
          <w:szCs w:val="24"/>
        </w:rPr>
        <w:t>(MQ)</w:t>
      </w:r>
      <w:r w:rsidR="001C4C9F" w:rsidRPr="00437BC9">
        <w:rPr>
          <w:rFonts w:ascii="Georgia" w:hAnsi="Georgia"/>
          <w:color w:val="002060"/>
          <w:sz w:val="24"/>
          <w:szCs w:val="24"/>
        </w:rPr>
        <w:t xml:space="preserve">, </w:t>
      </w:r>
      <w:r w:rsidR="002459BA" w:rsidRPr="00437BC9">
        <w:rPr>
          <w:rFonts w:ascii="Georgia" w:hAnsi="Georgia"/>
          <w:color w:val="002060"/>
          <w:sz w:val="24"/>
          <w:szCs w:val="24"/>
        </w:rPr>
        <w:t>Alex Attwood</w:t>
      </w:r>
      <w:r w:rsidR="004D13F9">
        <w:rPr>
          <w:rFonts w:ascii="Georgia" w:hAnsi="Georgia"/>
          <w:color w:val="002060"/>
          <w:sz w:val="24"/>
          <w:szCs w:val="24"/>
        </w:rPr>
        <w:t>*</w:t>
      </w:r>
      <w:r w:rsidR="002459BA" w:rsidRPr="00437BC9">
        <w:rPr>
          <w:rFonts w:ascii="Georgia" w:hAnsi="Georgia"/>
          <w:color w:val="002060"/>
          <w:sz w:val="24"/>
          <w:szCs w:val="24"/>
        </w:rPr>
        <w:t xml:space="preserve"> (AA), John</w:t>
      </w:r>
      <w:r w:rsidR="00D30DA1" w:rsidRPr="00437BC9">
        <w:rPr>
          <w:rFonts w:ascii="Georgia" w:hAnsi="Georgia"/>
          <w:color w:val="002060"/>
          <w:sz w:val="24"/>
          <w:szCs w:val="24"/>
        </w:rPr>
        <w:t xml:space="preserve"> Cu</w:t>
      </w:r>
      <w:r w:rsidR="00437BC9" w:rsidRPr="00437BC9">
        <w:rPr>
          <w:rFonts w:ascii="Georgia" w:hAnsi="Georgia"/>
          <w:color w:val="002060"/>
          <w:sz w:val="24"/>
          <w:szCs w:val="24"/>
        </w:rPr>
        <w:t xml:space="preserve">rran (JC), Ger Deering (GD), </w:t>
      </w:r>
      <w:r w:rsidR="00D30DA1" w:rsidRPr="00437BC9">
        <w:rPr>
          <w:rFonts w:ascii="Georgia" w:hAnsi="Georgia"/>
          <w:color w:val="002060"/>
          <w:sz w:val="24"/>
          <w:szCs w:val="24"/>
        </w:rPr>
        <w:t>Caroline Fennell</w:t>
      </w:r>
      <w:r w:rsidR="008814C1">
        <w:rPr>
          <w:rFonts w:ascii="Georgia" w:hAnsi="Georgia"/>
          <w:color w:val="002060"/>
          <w:sz w:val="24"/>
          <w:szCs w:val="24"/>
        </w:rPr>
        <w:t xml:space="preserve"> </w:t>
      </w:r>
      <w:r w:rsidR="00D30DA1" w:rsidRPr="00437BC9">
        <w:rPr>
          <w:rFonts w:ascii="Georgia" w:hAnsi="Georgia"/>
          <w:color w:val="002060"/>
          <w:sz w:val="24"/>
          <w:szCs w:val="24"/>
        </w:rPr>
        <w:t>(C</w:t>
      </w:r>
      <w:r w:rsidR="008F270D" w:rsidRPr="00437BC9">
        <w:rPr>
          <w:rFonts w:ascii="Georgia" w:hAnsi="Georgia"/>
          <w:color w:val="002060"/>
          <w:sz w:val="24"/>
          <w:szCs w:val="24"/>
        </w:rPr>
        <w:t>F)</w:t>
      </w:r>
      <w:r w:rsidR="008814C1">
        <w:rPr>
          <w:rFonts w:ascii="Georgia" w:hAnsi="Georgia"/>
          <w:color w:val="002060"/>
          <w:sz w:val="24"/>
          <w:szCs w:val="24"/>
        </w:rPr>
        <w:t xml:space="preserve"> and Peter Finnegan </w:t>
      </w:r>
      <w:r w:rsidR="00437BC9" w:rsidRPr="00437BC9">
        <w:rPr>
          <w:rFonts w:ascii="Georgia" w:hAnsi="Georgia"/>
          <w:color w:val="002060"/>
          <w:sz w:val="24"/>
          <w:szCs w:val="24"/>
        </w:rPr>
        <w:t>(PF)</w:t>
      </w:r>
      <w:r w:rsidR="00015A98" w:rsidRPr="00437BC9">
        <w:rPr>
          <w:rFonts w:ascii="Georgia" w:hAnsi="Georgia"/>
          <w:color w:val="002060"/>
          <w:sz w:val="24"/>
          <w:szCs w:val="24"/>
        </w:rPr>
        <w:t>.</w:t>
      </w:r>
    </w:p>
    <w:p w14:paraId="4B4F2BA9" w14:textId="320DF8DE" w:rsidR="002459BA" w:rsidRPr="00437BC9" w:rsidRDefault="002459BA" w:rsidP="004B22A0">
      <w:pPr>
        <w:spacing w:after="0" w:line="288" w:lineRule="auto"/>
        <w:rPr>
          <w:rFonts w:ascii="Georgia" w:hAnsi="Georgia"/>
          <w:color w:val="002060"/>
          <w:sz w:val="24"/>
          <w:szCs w:val="24"/>
        </w:rPr>
      </w:pPr>
    </w:p>
    <w:p w14:paraId="4B2AED1A" w14:textId="5EDF7732" w:rsidR="00015A98" w:rsidRPr="00437BC9" w:rsidRDefault="002459BA" w:rsidP="004B22A0">
      <w:pPr>
        <w:spacing w:after="0" w:line="288" w:lineRule="auto"/>
        <w:rPr>
          <w:rFonts w:ascii="Georgia" w:hAnsi="Georgia"/>
          <w:color w:val="002060"/>
          <w:sz w:val="24"/>
          <w:szCs w:val="24"/>
        </w:rPr>
      </w:pPr>
      <w:r w:rsidRPr="00437BC9">
        <w:rPr>
          <w:rFonts w:ascii="Georgia" w:hAnsi="Georgia"/>
          <w:i/>
          <w:color w:val="002060"/>
          <w:sz w:val="24"/>
          <w:szCs w:val="24"/>
        </w:rPr>
        <w:t>An Coimisiún Executive</w:t>
      </w:r>
      <w:r w:rsidRPr="00437BC9">
        <w:rPr>
          <w:rFonts w:ascii="Georgia" w:hAnsi="Georgia"/>
          <w:color w:val="002060"/>
          <w:sz w:val="24"/>
          <w:szCs w:val="24"/>
        </w:rPr>
        <w:t>: Art O’Leary</w:t>
      </w:r>
      <w:r w:rsidR="004D13F9">
        <w:rPr>
          <w:rFonts w:ascii="Georgia" w:hAnsi="Georgia"/>
          <w:color w:val="002060"/>
          <w:sz w:val="24"/>
          <w:szCs w:val="24"/>
        </w:rPr>
        <w:t>*</w:t>
      </w:r>
      <w:r w:rsidRPr="00437BC9">
        <w:rPr>
          <w:rFonts w:ascii="Georgia" w:hAnsi="Georgia"/>
          <w:color w:val="002060"/>
          <w:sz w:val="24"/>
          <w:szCs w:val="24"/>
        </w:rPr>
        <w:t xml:space="preserve"> (AOL), </w:t>
      </w:r>
      <w:r w:rsidR="002B6DE3" w:rsidRPr="00437BC9">
        <w:rPr>
          <w:rFonts w:ascii="Georgia" w:hAnsi="Georgia"/>
          <w:color w:val="002060"/>
          <w:sz w:val="24"/>
          <w:szCs w:val="24"/>
        </w:rPr>
        <w:t>Mary Clare O’Sullivan (MCOS), Karen Kehily (KK)</w:t>
      </w:r>
      <w:r w:rsidR="00D24E5D" w:rsidRPr="00437BC9">
        <w:rPr>
          <w:rFonts w:ascii="Georgia" w:hAnsi="Georgia"/>
          <w:color w:val="002060"/>
          <w:sz w:val="24"/>
          <w:szCs w:val="24"/>
        </w:rPr>
        <w:t xml:space="preserve">, </w:t>
      </w:r>
      <w:r w:rsidR="00437BC9" w:rsidRPr="00437BC9">
        <w:rPr>
          <w:rFonts w:ascii="Georgia" w:hAnsi="Georgia"/>
          <w:color w:val="002060"/>
          <w:sz w:val="24"/>
          <w:szCs w:val="24"/>
        </w:rPr>
        <w:t>Tim Carey</w:t>
      </w:r>
      <w:r w:rsidR="00D30DA1" w:rsidRPr="00437BC9">
        <w:rPr>
          <w:rFonts w:ascii="Georgia" w:hAnsi="Georgia"/>
          <w:color w:val="002060"/>
          <w:sz w:val="24"/>
          <w:szCs w:val="24"/>
        </w:rPr>
        <w:t xml:space="preserve"> (TC), </w:t>
      </w:r>
      <w:r w:rsidR="004D13F9">
        <w:rPr>
          <w:rFonts w:ascii="Georgia" w:hAnsi="Georgia"/>
          <w:color w:val="002060"/>
          <w:sz w:val="24"/>
          <w:szCs w:val="24"/>
        </w:rPr>
        <w:t>Eunice Delaney (ED – items 3 and 5</w:t>
      </w:r>
      <w:r w:rsidR="008814C1">
        <w:rPr>
          <w:rFonts w:ascii="Georgia" w:hAnsi="Georgia"/>
          <w:color w:val="002060"/>
          <w:sz w:val="24"/>
          <w:szCs w:val="24"/>
        </w:rPr>
        <w:t xml:space="preserve">), </w:t>
      </w:r>
      <w:r w:rsidR="002B6DE3" w:rsidRPr="00437BC9">
        <w:rPr>
          <w:rFonts w:ascii="Georgia" w:hAnsi="Georgia"/>
          <w:color w:val="002060"/>
          <w:sz w:val="24"/>
          <w:szCs w:val="24"/>
        </w:rPr>
        <w:t>and Andrea Jones</w:t>
      </w:r>
      <w:r w:rsidR="00CA4BF3" w:rsidRPr="00437BC9">
        <w:rPr>
          <w:rFonts w:ascii="Georgia" w:hAnsi="Georgia"/>
          <w:color w:val="002060"/>
          <w:sz w:val="24"/>
          <w:szCs w:val="24"/>
        </w:rPr>
        <w:t xml:space="preserve"> </w:t>
      </w:r>
      <w:r w:rsidR="0006329F" w:rsidRPr="00437BC9">
        <w:rPr>
          <w:rFonts w:ascii="Georgia" w:hAnsi="Georgia"/>
          <w:color w:val="002060"/>
          <w:sz w:val="24"/>
          <w:szCs w:val="24"/>
        </w:rPr>
        <w:t>(secretariat)</w:t>
      </w:r>
    </w:p>
    <w:p w14:paraId="6FA4B844" w14:textId="039445D8" w:rsidR="00882A45" w:rsidRPr="00D30DA1" w:rsidRDefault="00882A45" w:rsidP="004B22A0">
      <w:pPr>
        <w:spacing w:after="0" w:line="288" w:lineRule="auto"/>
        <w:rPr>
          <w:rFonts w:ascii="Georgia" w:hAnsi="Georgia"/>
          <w:color w:val="002060"/>
          <w:sz w:val="24"/>
          <w:szCs w:val="24"/>
        </w:rPr>
      </w:pPr>
    </w:p>
    <w:p w14:paraId="3D6F6AB1" w14:textId="5E1B7133" w:rsidR="004D13F9" w:rsidRPr="00437BC9" w:rsidRDefault="004D13F9" w:rsidP="004D13F9">
      <w:pPr>
        <w:spacing w:after="0" w:line="288" w:lineRule="auto"/>
        <w:rPr>
          <w:rFonts w:ascii="Georgia" w:hAnsi="Georgia"/>
          <w:i/>
          <w:color w:val="002060"/>
          <w:sz w:val="24"/>
          <w:szCs w:val="24"/>
        </w:rPr>
      </w:pPr>
      <w:r w:rsidRPr="00437BC9">
        <w:rPr>
          <w:rFonts w:ascii="Georgia" w:hAnsi="Georgia"/>
          <w:i/>
          <w:color w:val="002060"/>
          <w:sz w:val="24"/>
          <w:szCs w:val="24"/>
        </w:rPr>
        <w:t>*</w:t>
      </w:r>
      <w:r>
        <w:rPr>
          <w:rFonts w:ascii="Georgia" w:hAnsi="Georgia"/>
          <w:i/>
          <w:color w:val="002060"/>
          <w:sz w:val="24"/>
          <w:szCs w:val="24"/>
        </w:rPr>
        <w:t>Alex Attwood</w:t>
      </w:r>
      <w:r w:rsidRPr="00437BC9">
        <w:rPr>
          <w:rFonts w:ascii="Georgia" w:hAnsi="Georgia"/>
          <w:i/>
          <w:color w:val="002060"/>
          <w:sz w:val="24"/>
          <w:szCs w:val="24"/>
        </w:rPr>
        <w:t xml:space="preserve"> and </w:t>
      </w:r>
      <w:r>
        <w:rPr>
          <w:rFonts w:ascii="Georgia" w:hAnsi="Georgia"/>
          <w:i/>
          <w:color w:val="002060"/>
          <w:sz w:val="24"/>
          <w:szCs w:val="24"/>
        </w:rPr>
        <w:t>Art O’Leary</w:t>
      </w:r>
      <w:r w:rsidRPr="00437BC9">
        <w:rPr>
          <w:rFonts w:ascii="Georgia" w:hAnsi="Georgia"/>
          <w:i/>
          <w:color w:val="002060"/>
          <w:sz w:val="24"/>
          <w:szCs w:val="24"/>
        </w:rPr>
        <w:t xml:space="preserve"> attended the meeting remotely</w:t>
      </w:r>
    </w:p>
    <w:p w14:paraId="07D5069B" w14:textId="77777777" w:rsidR="001945FA" w:rsidRPr="001945FA" w:rsidRDefault="001945FA" w:rsidP="004B22A0">
      <w:pPr>
        <w:spacing w:after="0" w:line="288" w:lineRule="auto"/>
        <w:rPr>
          <w:rFonts w:ascii="Georgia" w:hAnsi="Georgia"/>
          <w:color w:val="002060"/>
        </w:rPr>
      </w:pPr>
    </w:p>
    <w:p w14:paraId="377F7482" w14:textId="77777777" w:rsidR="005D1A60" w:rsidRPr="006C0A42" w:rsidRDefault="00227C42" w:rsidP="004B22A0">
      <w:pPr>
        <w:shd w:val="clear" w:color="auto" w:fill="FFFFFF"/>
        <w:spacing w:after="0" w:line="288" w:lineRule="auto"/>
        <w:jc w:val="center"/>
        <w:rPr>
          <w:rFonts w:ascii="Georgia" w:eastAsia="Times New Roman" w:hAnsi="Georgia" w:cs="Arial"/>
          <w:color w:val="002060"/>
          <w:sz w:val="24"/>
          <w:szCs w:val="24"/>
          <w:lang w:eastAsia="en-IE"/>
        </w:rPr>
      </w:pPr>
      <w:r w:rsidRPr="006C0A42">
        <w:rPr>
          <w:rFonts w:ascii="Georgia" w:eastAsia="Times New Roman" w:hAnsi="Georgia" w:cs="Arial"/>
          <w:color w:val="002060"/>
          <w:sz w:val="24"/>
          <w:szCs w:val="24"/>
          <w:lang w:eastAsia="en-IE"/>
        </w:rPr>
        <w:t>------------------------------------</w:t>
      </w:r>
    </w:p>
    <w:p w14:paraId="064B5D88" w14:textId="22C4BF5C" w:rsidR="004528AA" w:rsidRDefault="00FF79A5" w:rsidP="004B22A0">
      <w:pPr>
        <w:pStyle w:val="ListParagraph"/>
        <w:numPr>
          <w:ilvl w:val="0"/>
          <w:numId w:val="14"/>
        </w:numPr>
        <w:spacing w:after="0" w:line="288" w:lineRule="auto"/>
        <w:rPr>
          <w:rFonts w:ascii="Georgia" w:hAnsi="Georgia"/>
          <w:b/>
          <w:color w:val="002060"/>
          <w:sz w:val="24"/>
          <w:szCs w:val="24"/>
        </w:rPr>
      </w:pPr>
      <w:r w:rsidRPr="006C0A42">
        <w:rPr>
          <w:rFonts w:ascii="Georgia" w:hAnsi="Georgia"/>
          <w:b/>
          <w:color w:val="002060"/>
          <w:sz w:val="24"/>
          <w:szCs w:val="24"/>
        </w:rPr>
        <w:t>Welcome</w:t>
      </w:r>
    </w:p>
    <w:p w14:paraId="70EDDF12" w14:textId="77777777" w:rsidR="00C41F8B" w:rsidRPr="006C0A42" w:rsidRDefault="00C41F8B" w:rsidP="00C41F8B">
      <w:pPr>
        <w:pStyle w:val="ListParagraph"/>
        <w:spacing w:after="0" w:line="288" w:lineRule="auto"/>
        <w:rPr>
          <w:rFonts w:ascii="Georgia" w:hAnsi="Georgia"/>
          <w:b/>
          <w:color w:val="002060"/>
          <w:sz w:val="24"/>
          <w:szCs w:val="24"/>
        </w:rPr>
      </w:pPr>
    </w:p>
    <w:p w14:paraId="033BF221" w14:textId="23D6EC16" w:rsidR="004F6B21" w:rsidRPr="00437BC9" w:rsidRDefault="00F21A0B" w:rsidP="004B22A0">
      <w:pPr>
        <w:spacing w:after="0" w:line="288" w:lineRule="auto"/>
        <w:rPr>
          <w:rFonts w:ascii="Georgia" w:hAnsi="Georgia"/>
          <w:color w:val="002060"/>
          <w:sz w:val="24"/>
          <w:szCs w:val="24"/>
        </w:rPr>
      </w:pPr>
      <w:r w:rsidRPr="00437BC9">
        <w:rPr>
          <w:rFonts w:ascii="Georgia" w:hAnsi="Georgia"/>
          <w:color w:val="002060"/>
          <w:sz w:val="24"/>
          <w:szCs w:val="24"/>
        </w:rPr>
        <w:t xml:space="preserve">The </w:t>
      </w:r>
      <w:r w:rsidR="002A6CB2" w:rsidRPr="00437BC9">
        <w:rPr>
          <w:rFonts w:ascii="Georgia" w:hAnsi="Georgia"/>
          <w:color w:val="002060"/>
          <w:sz w:val="24"/>
          <w:szCs w:val="24"/>
        </w:rPr>
        <w:t>Chair</w:t>
      </w:r>
      <w:r w:rsidRPr="00437BC9">
        <w:rPr>
          <w:rFonts w:ascii="Georgia" w:hAnsi="Georgia"/>
          <w:color w:val="002060"/>
          <w:sz w:val="24"/>
          <w:szCs w:val="24"/>
        </w:rPr>
        <w:t>person</w:t>
      </w:r>
      <w:r w:rsidR="002A6CB2" w:rsidRPr="00437BC9">
        <w:rPr>
          <w:rFonts w:ascii="Georgia" w:hAnsi="Georgia"/>
          <w:color w:val="002060"/>
          <w:sz w:val="24"/>
          <w:szCs w:val="24"/>
        </w:rPr>
        <w:t xml:space="preserve"> welcomed m</w:t>
      </w:r>
      <w:r w:rsidR="00227C42" w:rsidRPr="00437BC9">
        <w:rPr>
          <w:rFonts w:ascii="Georgia" w:hAnsi="Georgia"/>
          <w:color w:val="002060"/>
          <w:sz w:val="24"/>
          <w:szCs w:val="24"/>
        </w:rPr>
        <w:t>embers</w:t>
      </w:r>
      <w:r w:rsidR="00487FBA" w:rsidRPr="00437BC9">
        <w:rPr>
          <w:rFonts w:ascii="Georgia" w:hAnsi="Georgia"/>
          <w:color w:val="002060"/>
          <w:sz w:val="24"/>
          <w:szCs w:val="24"/>
        </w:rPr>
        <w:t xml:space="preserve">. </w:t>
      </w:r>
      <w:r w:rsidR="004F6B21" w:rsidRPr="00437BC9">
        <w:rPr>
          <w:rFonts w:ascii="Georgia" w:hAnsi="Georgia"/>
          <w:color w:val="002060"/>
          <w:sz w:val="24"/>
          <w:szCs w:val="24"/>
        </w:rPr>
        <w:t xml:space="preserve"> </w:t>
      </w:r>
    </w:p>
    <w:p w14:paraId="7FB23E4C" w14:textId="0249FEA9" w:rsidR="0078601C" w:rsidRPr="00437BC9" w:rsidRDefault="0078601C" w:rsidP="0078601C">
      <w:pPr>
        <w:spacing w:after="0" w:line="288" w:lineRule="auto"/>
        <w:rPr>
          <w:rFonts w:ascii="Georgia" w:hAnsi="Georgia"/>
          <w:color w:val="002060"/>
          <w:sz w:val="24"/>
          <w:szCs w:val="24"/>
        </w:rPr>
      </w:pPr>
      <w:r w:rsidRPr="00437BC9">
        <w:rPr>
          <w:rFonts w:ascii="Georgia" w:hAnsi="Georgia"/>
          <w:color w:val="002060"/>
          <w:sz w:val="24"/>
          <w:szCs w:val="24"/>
        </w:rPr>
        <w:t>Th</w:t>
      </w:r>
      <w:r w:rsidR="008814C1">
        <w:rPr>
          <w:rFonts w:ascii="Georgia" w:hAnsi="Georgia"/>
          <w:color w:val="002060"/>
          <w:sz w:val="24"/>
          <w:szCs w:val="24"/>
        </w:rPr>
        <w:t>e minutes from previous meeting</w:t>
      </w:r>
      <w:r w:rsidR="00F12CB7">
        <w:rPr>
          <w:rFonts w:ascii="Georgia" w:hAnsi="Georgia"/>
          <w:color w:val="002060"/>
          <w:sz w:val="24"/>
          <w:szCs w:val="24"/>
        </w:rPr>
        <w:t xml:space="preserve"> were</w:t>
      </w:r>
      <w:r w:rsidRPr="00437BC9">
        <w:rPr>
          <w:rFonts w:ascii="Georgia" w:hAnsi="Georgia"/>
          <w:color w:val="002060"/>
          <w:sz w:val="24"/>
          <w:szCs w:val="24"/>
        </w:rPr>
        <w:t xml:space="preserve"> approved</w:t>
      </w:r>
      <w:r w:rsidR="00853E3C" w:rsidRPr="00437BC9">
        <w:rPr>
          <w:rFonts w:ascii="Georgia" w:hAnsi="Georgia"/>
          <w:color w:val="002060"/>
          <w:sz w:val="24"/>
          <w:szCs w:val="24"/>
        </w:rPr>
        <w:t>.</w:t>
      </w:r>
    </w:p>
    <w:p w14:paraId="76B783BE" w14:textId="274D2DAB" w:rsidR="0006329F" w:rsidRPr="006C0A42" w:rsidRDefault="0006329F" w:rsidP="004B22A0">
      <w:pPr>
        <w:spacing w:after="0" w:line="288" w:lineRule="auto"/>
        <w:rPr>
          <w:rFonts w:ascii="Georgia" w:hAnsi="Georgia"/>
          <w:color w:val="002060"/>
          <w:sz w:val="24"/>
          <w:szCs w:val="24"/>
        </w:rPr>
      </w:pPr>
    </w:p>
    <w:p w14:paraId="6B17D3EF" w14:textId="00E30C12" w:rsidR="0006329F" w:rsidRDefault="0006329F" w:rsidP="004B22A0">
      <w:pPr>
        <w:pStyle w:val="ListParagraph"/>
        <w:numPr>
          <w:ilvl w:val="0"/>
          <w:numId w:val="14"/>
        </w:numPr>
        <w:spacing w:after="0" w:line="288" w:lineRule="auto"/>
        <w:rPr>
          <w:rFonts w:ascii="Georgia" w:hAnsi="Georgia"/>
          <w:b/>
          <w:color w:val="002060"/>
          <w:sz w:val="24"/>
          <w:szCs w:val="24"/>
        </w:rPr>
      </w:pPr>
      <w:r w:rsidRPr="006C0A42">
        <w:rPr>
          <w:rFonts w:ascii="Georgia" w:hAnsi="Georgia"/>
          <w:b/>
          <w:color w:val="002060"/>
          <w:sz w:val="24"/>
          <w:szCs w:val="24"/>
        </w:rPr>
        <w:t>Conflict of Interest</w:t>
      </w:r>
    </w:p>
    <w:p w14:paraId="2152C53D" w14:textId="77777777" w:rsidR="00C41F8B" w:rsidRPr="006C0A42" w:rsidRDefault="00C41F8B" w:rsidP="00C41F8B">
      <w:pPr>
        <w:pStyle w:val="ListParagraph"/>
        <w:spacing w:after="0" w:line="288" w:lineRule="auto"/>
        <w:rPr>
          <w:rFonts w:ascii="Georgia" w:hAnsi="Georgia"/>
          <w:b/>
          <w:color w:val="002060"/>
          <w:sz w:val="24"/>
          <w:szCs w:val="24"/>
        </w:rPr>
      </w:pPr>
    </w:p>
    <w:p w14:paraId="4E22664B" w14:textId="4A71E38B" w:rsidR="00853E3C" w:rsidRPr="00D82084" w:rsidRDefault="00853E3C" w:rsidP="00C41F8B">
      <w:pPr>
        <w:spacing w:after="0" w:line="288" w:lineRule="auto"/>
        <w:jc w:val="both"/>
        <w:rPr>
          <w:rFonts w:ascii="Georgia" w:hAnsi="Georgia"/>
          <w:color w:val="002060"/>
          <w:sz w:val="24"/>
          <w:szCs w:val="24"/>
        </w:rPr>
      </w:pPr>
      <w:r w:rsidRPr="00D82084">
        <w:rPr>
          <w:rFonts w:ascii="Georgia" w:hAnsi="Georgia"/>
          <w:color w:val="002060"/>
          <w:sz w:val="24"/>
          <w:szCs w:val="24"/>
        </w:rPr>
        <w:t>Prior to the</w:t>
      </w:r>
      <w:r w:rsidR="007F2251" w:rsidRPr="00D82084">
        <w:rPr>
          <w:rFonts w:ascii="Georgia" w:hAnsi="Georgia"/>
          <w:color w:val="002060"/>
          <w:sz w:val="24"/>
          <w:szCs w:val="24"/>
        </w:rPr>
        <w:t xml:space="preserve"> discussion of</w:t>
      </w:r>
      <w:r w:rsidR="00B929E7">
        <w:rPr>
          <w:rFonts w:ascii="Georgia" w:hAnsi="Georgia"/>
          <w:color w:val="002060"/>
          <w:sz w:val="24"/>
          <w:szCs w:val="24"/>
        </w:rPr>
        <w:t xml:space="preserve"> agenda item number twelve</w:t>
      </w:r>
      <w:r w:rsidRPr="00D82084">
        <w:rPr>
          <w:rFonts w:ascii="Georgia" w:hAnsi="Georgia"/>
          <w:color w:val="002060"/>
          <w:sz w:val="24"/>
          <w:szCs w:val="24"/>
        </w:rPr>
        <w:t xml:space="preserve">, the Chief Executive notified the Chair and the Commission members of </w:t>
      </w:r>
      <w:r w:rsidR="007F2251" w:rsidRPr="00D82084">
        <w:rPr>
          <w:rFonts w:ascii="Georgia" w:hAnsi="Georgia"/>
          <w:color w:val="002060"/>
          <w:sz w:val="24"/>
          <w:szCs w:val="24"/>
        </w:rPr>
        <w:t>a</w:t>
      </w:r>
      <w:r w:rsidR="00D82084" w:rsidRPr="00D82084">
        <w:rPr>
          <w:rFonts w:ascii="Georgia" w:hAnsi="Georgia"/>
          <w:color w:val="002060"/>
          <w:sz w:val="24"/>
          <w:szCs w:val="24"/>
        </w:rPr>
        <w:t xml:space="preserve"> conflict of interest. The</w:t>
      </w:r>
      <w:r w:rsidRPr="00D82084">
        <w:rPr>
          <w:rFonts w:ascii="Georgia" w:hAnsi="Georgia"/>
          <w:color w:val="002060"/>
          <w:sz w:val="24"/>
          <w:szCs w:val="24"/>
        </w:rPr>
        <w:t xml:space="preserve"> Commission member</w:t>
      </w:r>
      <w:r w:rsidR="00D82084" w:rsidRPr="00D82084">
        <w:rPr>
          <w:rFonts w:ascii="Georgia" w:hAnsi="Georgia"/>
          <w:color w:val="002060"/>
          <w:sz w:val="24"/>
          <w:szCs w:val="24"/>
        </w:rPr>
        <w:t xml:space="preserve">s acknowledged the conflict of interest and the Chief Executive recused </w:t>
      </w:r>
      <w:r w:rsidR="00784B40">
        <w:rPr>
          <w:rFonts w:ascii="Georgia" w:hAnsi="Georgia"/>
          <w:color w:val="002060"/>
          <w:sz w:val="24"/>
          <w:szCs w:val="24"/>
        </w:rPr>
        <w:t>himself</w:t>
      </w:r>
      <w:r w:rsidR="00D82084" w:rsidRPr="00D82084">
        <w:rPr>
          <w:rFonts w:ascii="Georgia" w:hAnsi="Georgia"/>
          <w:color w:val="002060"/>
          <w:sz w:val="24"/>
          <w:szCs w:val="24"/>
        </w:rPr>
        <w:t xml:space="preserve"> from the discussion. </w:t>
      </w:r>
    </w:p>
    <w:p w14:paraId="22BD7F26" w14:textId="10412F36" w:rsidR="007647A0" w:rsidRPr="00D82084" w:rsidRDefault="007647A0" w:rsidP="00D82084">
      <w:pPr>
        <w:spacing w:after="0" w:line="288" w:lineRule="auto"/>
        <w:rPr>
          <w:rFonts w:ascii="Georgia" w:hAnsi="Georgia"/>
          <w:color w:val="002060"/>
          <w:sz w:val="24"/>
          <w:szCs w:val="24"/>
        </w:rPr>
      </w:pPr>
    </w:p>
    <w:p w14:paraId="66A0559E" w14:textId="096D90CD" w:rsidR="00D30DA1" w:rsidRPr="001E5881" w:rsidRDefault="004D13F9" w:rsidP="00D30DA1">
      <w:pPr>
        <w:pStyle w:val="ListParagraph"/>
        <w:numPr>
          <w:ilvl w:val="0"/>
          <w:numId w:val="14"/>
        </w:numPr>
        <w:spacing w:after="0" w:line="288" w:lineRule="auto"/>
        <w:rPr>
          <w:rFonts w:ascii="Georgia" w:hAnsi="Georgia"/>
          <w:b/>
          <w:color w:val="002060"/>
          <w:sz w:val="24"/>
          <w:szCs w:val="24"/>
        </w:rPr>
      </w:pPr>
      <w:r>
        <w:rPr>
          <w:rFonts w:ascii="Georgia" w:eastAsia="Times New Roman" w:hAnsi="Georgia"/>
          <w:b/>
          <w:color w:val="002060"/>
          <w:sz w:val="24"/>
          <w:szCs w:val="24"/>
        </w:rPr>
        <w:t>Review of June ’24 Local and European Elections</w:t>
      </w:r>
    </w:p>
    <w:p w14:paraId="5D6ADF96" w14:textId="77777777" w:rsidR="001E5881" w:rsidRPr="001E5881" w:rsidRDefault="001E5881" w:rsidP="001E5881">
      <w:pPr>
        <w:pStyle w:val="ListParagraph"/>
        <w:spacing w:after="0" w:line="288" w:lineRule="auto"/>
        <w:rPr>
          <w:rFonts w:ascii="Georgia" w:hAnsi="Georgia"/>
          <w:b/>
          <w:color w:val="002060"/>
          <w:sz w:val="24"/>
          <w:szCs w:val="24"/>
        </w:rPr>
      </w:pPr>
    </w:p>
    <w:p w14:paraId="6BE7C892" w14:textId="277A1CCE" w:rsidR="004D13F9" w:rsidRDefault="004D13F9" w:rsidP="004D13F9">
      <w:pPr>
        <w:spacing w:after="0" w:line="288" w:lineRule="auto"/>
        <w:rPr>
          <w:rFonts w:ascii="Georgia" w:hAnsi="Georgia" w:cs="Arial"/>
          <w:color w:val="002060"/>
          <w:sz w:val="24"/>
          <w:szCs w:val="24"/>
          <w:shd w:val="clear" w:color="auto" w:fill="FFFFFF"/>
        </w:rPr>
      </w:pPr>
      <w:r w:rsidRPr="004D13F9">
        <w:rPr>
          <w:rFonts w:ascii="Georgia" w:hAnsi="Georgia" w:cs="Arial"/>
          <w:color w:val="002060"/>
          <w:sz w:val="24"/>
          <w:szCs w:val="24"/>
          <w:shd w:val="clear" w:color="auto" w:fill="FFFFFF"/>
        </w:rPr>
        <w:t xml:space="preserve">The Commission were updated on the </w:t>
      </w:r>
      <w:r w:rsidR="003511CF">
        <w:rPr>
          <w:rFonts w:ascii="Georgia" w:hAnsi="Georgia" w:cs="Arial"/>
          <w:color w:val="002060"/>
          <w:sz w:val="24"/>
          <w:szCs w:val="24"/>
          <w:shd w:val="clear" w:color="auto" w:fill="FFFFFF"/>
        </w:rPr>
        <w:t>key findings observed by Electoral Commission staff during visits to 98 polling stations on European and Local Election polling day, 7</w:t>
      </w:r>
      <w:r w:rsidR="003511CF" w:rsidRPr="003511CF">
        <w:rPr>
          <w:rFonts w:ascii="Georgia" w:hAnsi="Georgia" w:cs="Arial"/>
          <w:color w:val="002060"/>
          <w:sz w:val="24"/>
          <w:szCs w:val="24"/>
          <w:shd w:val="clear" w:color="auto" w:fill="FFFFFF"/>
          <w:vertAlign w:val="superscript"/>
        </w:rPr>
        <w:t>th</w:t>
      </w:r>
      <w:r w:rsidR="003511CF">
        <w:rPr>
          <w:rFonts w:ascii="Georgia" w:hAnsi="Georgia" w:cs="Arial"/>
          <w:color w:val="002060"/>
          <w:sz w:val="24"/>
          <w:szCs w:val="24"/>
          <w:shd w:val="clear" w:color="auto" w:fill="FFFFFF"/>
        </w:rPr>
        <w:t xml:space="preserve"> June 2024.  These findings will form part of the June’24 </w:t>
      </w:r>
      <w:r w:rsidRPr="004D13F9">
        <w:rPr>
          <w:rFonts w:ascii="Georgia" w:hAnsi="Georgia" w:cs="Arial"/>
          <w:color w:val="002060"/>
          <w:sz w:val="24"/>
          <w:szCs w:val="24"/>
          <w:shd w:val="clear" w:color="auto" w:fill="FFFFFF"/>
        </w:rPr>
        <w:t>pos</w:t>
      </w:r>
      <w:r w:rsidR="003511CF">
        <w:rPr>
          <w:rFonts w:ascii="Georgia" w:hAnsi="Georgia" w:cs="Arial"/>
          <w:color w:val="002060"/>
          <w:sz w:val="24"/>
          <w:szCs w:val="24"/>
          <w:shd w:val="clear" w:color="auto" w:fill="FFFFFF"/>
        </w:rPr>
        <w:t>t electoral event review (PEER)</w:t>
      </w:r>
      <w:r w:rsidRPr="004D13F9">
        <w:rPr>
          <w:rFonts w:ascii="Georgia" w:hAnsi="Georgia" w:cs="Arial"/>
          <w:color w:val="002060"/>
          <w:sz w:val="24"/>
          <w:szCs w:val="24"/>
          <w:shd w:val="clear" w:color="auto" w:fill="FFFFFF"/>
        </w:rPr>
        <w:t xml:space="preserve"> report, </w:t>
      </w:r>
      <w:r w:rsidR="003511CF">
        <w:rPr>
          <w:rFonts w:ascii="Georgia" w:hAnsi="Georgia" w:cs="Arial"/>
          <w:color w:val="002060"/>
          <w:sz w:val="24"/>
          <w:szCs w:val="24"/>
          <w:shd w:val="clear" w:color="auto" w:fill="FFFFFF"/>
        </w:rPr>
        <w:t xml:space="preserve">which will be published in quarter four of this year. </w:t>
      </w:r>
      <w:r w:rsidRPr="004D13F9">
        <w:rPr>
          <w:rFonts w:ascii="Georgia" w:hAnsi="Georgia" w:cs="Arial"/>
          <w:color w:val="002060"/>
          <w:sz w:val="24"/>
          <w:szCs w:val="24"/>
          <w:shd w:val="clear" w:color="auto" w:fill="FFFFFF"/>
        </w:rPr>
        <w:t xml:space="preserve">In advance of the draft report publication </w:t>
      </w:r>
      <w:r w:rsidR="000A3AFC">
        <w:rPr>
          <w:rFonts w:ascii="Georgia" w:hAnsi="Georgia" w:cs="Arial"/>
          <w:color w:val="002060"/>
          <w:sz w:val="24"/>
          <w:szCs w:val="24"/>
          <w:shd w:val="clear" w:color="auto" w:fill="FFFFFF"/>
        </w:rPr>
        <w:t xml:space="preserve">and the possibility of a further electoral event later this year, the Commission have agreed to </w:t>
      </w:r>
      <w:r w:rsidRPr="004D13F9">
        <w:rPr>
          <w:rFonts w:ascii="Georgia" w:hAnsi="Georgia" w:cs="Arial"/>
          <w:color w:val="002060"/>
          <w:sz w:val="24"/>
          <w:szCs w:val="24"/>
          <w:shd w:val="clear" w:color="auto" w:fill="FFFFFF"/>
        </w:rPr>
        <w:t>write to the Minister for Housing, Planning, Local Government and Heritage to highlight the</w:t>
      </w:r>
      <w:r w:rsidR="000A3AFC" w:rsidRPr="000A3AFC">
        <w:rPr>
          <w:rFonts w:ascii="Georgia" w:hAnsi="Georgia" w:cs="Arial"/>
          <w:color w:val="002060"/>
          <w:sz w:val="24"/>
          <w:szCs w:val="24"/>
          <w:shd w:val="clear" w:color="auto" w:fill="FFFFFF"/>
        </w:rPr>
        <w:t xml:space="preserve"> </w:t>
      </w:r>
      <w:r w:rsidR="000A3AFC">
        <w:rPr>
          <w:rFonts w:ascii="Georgia" w:hAnsi="Georgia" w:cs="Arial"/>
          <w:color w:val="002060"/>
          <w:sz w:val="24"/>
          <w:szCs w:val="24"/>
          <w:shd w:val="clear" w:color="auto" w:fill="FFFFFF"/>
        </w:rPr>
        <w:t xml:space="preserve">preliminary </w:t>
      </w:r>
      <w:r w:rsidRPr="004D13F9">
        <w:rPr>
          <w:rFonts w:ascii="Georgia" w:hAnsi="Georgia" w:cs="Arial"/>
          <w:color w:val="002060"/>
          <w:sz w:val="24"/>
          <w:szCs w:val="24"/>
          <w:shd w:val="clear" w:color="auto" w:fill="FFFFFF"/>
        </w:rPr>
        <w:t>findings</w:t>
      </w:r>
      <w:r w:rsidR="000A3AFC">
        <w:rPr>
          <w:rFonts w:ascii="Georgia" w:hAnsi="Georgia" w:cs="Arial"/>
          <w:color w:val="002060"/>
          <w:sz w:val="24"/>
          <w:szCs w:val="24"/>
          <w:shd w:val="clear" w:color="auto" w:fill="FFFFFF"/>
        </w:rPr>
        <w:t xml:space="preserve"> </w:t>
      </w:r>
      <w:r w:rsidRPr="004D13F9">
        <w:rPr>
          <w:rFonts w:ascii="Georgia" w:hAnsi="Georgia" w:cs="Arial"/>
          <w:color w:val="002060"/>
          <w:sz w:val="24"/>
          <w:szCs w:val="24"/>
          <w:shd w:val="clear" w:color="auto" w:fill="FFFFFF"/>
        </w:rPr>
        <w:t xml:space="preserve">of the review, </w:t>
      </w:r>
      <w:r w:rsidR="000A3AFC">
        <w:rPr>
          <w:rFonts w:ascii="Georgia" w:hAnsi="Georgia" w:cs="Arial"/>
          <w:color w:val="002060"/>
          <w:sz w:val="24"/>
          <w:szCs w:val="24"/>
          <w:shd w:val="clear" w:color="auto" w:fill="FFFFFF"/>
        </w:rPr>
        <w:t xml:space="preserve">along with the recurring findings identified from the March ’24 </w:t>
      </w:r>
      <w:r w:rsidR="000A3AFC" w:rsidRPr="004D13F9">
        <w:rPr>
          <w:rFonts w:ascii="Georgia" w:hAnsi="Georgia" w:cs="Arial"/>
          <w:color w:val="002060"/>
          <w:sz w:val="24"/>
          <w:szCs w:val="24"/>
          <w:shd w:val="clear" w:color="auto" w:fill="FFFFFF"/>
        </w:rPr>
        <w:t>pos</w:t>
      </w:r>
      <w:r w:rsidR="000A3AFC">
        <w:rPr>
          <w:rFonts w:ascii="Georgia" w:hAnsi="Georgia" w:cs="Arial"/>
          <w:color w:val="002060"/>
          <w:sz w:val="24"/>
          <w:szCs w:val="24"/>
          <w:shd w:val="clear" w:color="auto" w:fill="FFFFFF"/>
        </w:rPr>
        <w:t>t electoral event review (PEER)</w:t>
      </w:r>
      <w:r w:rsidR="000A3AFC" w:rsidRPr="004D13F9">
        <w:rPr>
          <w:rFonts w:ascii="Georgia" w:hAnsi="Georgia" w:cs="Arial"/>
          <w:color w:val="002060"/>
          <w:sz w:val="24"/>
          <w:szCs w:val="24"/>
          <w:shd w:val="clear" w:color="auto" w:fill="FFFFFF"/>
        </w:rPr>
        <w:t xml:space="preserve"> report</w:t>
      </w:r>
      <w:r w:rsidR="000A3AFC">
        <w:rPr>
          <w:rFonts w:ascii="Georgia" w:hAnsi="Georgia" w:cs="Arial"/>
          <w:color w:val="002060"/>
          <w:sz w:val="24"/>
          <w:szCs w:val="24"/>
          <w:shd w:val="clear" w:color="auto" w:fill="FFFFFF"/>
        </w:rPr>
        <w:t>, to</w:t>
      </w:r>
      <w:r w:rsidR="000A3AFC" w:rsidRPr="004D13F9">
        <w:rPr>
          <w:rFonts w:ascii="Georgia" w:hAnsi="Georgia" w:cs="Arial"/>
          <w:color w:val="002060"/>
          <w:sz w:val="24"/>
          <w:szCs w:val="24"/>
          <w:shd w:val="clear" w:color="auto" w:fill="FFFFFF"/>
        </w:rPr>
        <w:t xml:space="preserve"> </w:t>
      </w:r>
      <w:r w:rsidRPr="004D13F9">
        <w:rPr>
          <w:rFonts w:ascii="Georgia" w:hAnsi="Georgia" w:cs="Arial"/>
          <w:color w:val="002060"/>
          <w:sz w:val="24"/>
          <w:szCs w:val="24"/>
          <w:shd w:val="clear" w:color="auto" w:fill="FFFFFF"/>
        </w:rPr>
        <w:t xml:space="preserve">assist the Minister in planning and addressing voter concerns in advance of the </w:t>
      </w:r>
      <w:r w:rsidR="000A3AFC">
        <w:rPr>
          <w:rFonts w:ascii="Georgia" w:hAnsi="Georgia" w:cs="Arial"/>
          <w:color w:val="002060"/>
          <w:sz w:val="24"/>
          <w:szCs w:val="24"/>
          <w:shd w:val="clear" w:color="auto" w:fill="FFFFFF"/>
        </w:rPr>
        <w:t>next electoral event</w:t>
      </w:r>
      <w:r w:rsidRPr="004D13F9">
        <w:rPr>
          <w:rFonts w:ascii="Georgia" w:hAnsi="Georgia" w:cs="Arial"/>
          <w:color w:val="002060"/>
          <w:sz w:val="24"/>
          <w:szCs w:val="24"/>
          <w:shd w:val="clear" w:color="auto" w:fill="FFFFFF"/>
        </w:rPr>
        <w:t xml:space="preserve">.   </w:t>
      </w:r>
    </w:p>
    <w:p w14:paraId="12AFD11F" w14:textId="77777777" w:rsidR="008F468F" w:rsidRPr="004D13F9" w:rsidRDefault="008F468F" w:rsidP="004D13F9">
      <w:pPr>
        <w:spacing w:after="0" w:line="288" w:lineRule="auto"/>
        <w:rPr>
          <w:rFonts w:ascii="Georgia" w:hAnsi="Georgia"/>
          <w:color w:val="002060"/>
          <w:sz w:val="24"/>
          <w:szCs w:val="24"/>
          <w:shd w:val="clear" w:color="auto" w:fill="FFFFFF"/>
          <w:lang w:eastAsia="en-IE"/>
        </w:rPr>
      </w:pPr>
    </w:p>
    <w:p w14:paraId="6F7C7CDC" w14:textId="15F025FE" w:rsidR="00326B8C" w:rsidRPr="00326B8C" w:rsidRDefault="00326B8C" w:rsidP="00326B8C">
      <w:pPr>
        <w:spacing w:after="0" w:line="288" w:lineRule="auto"/>
        <w:ind w:left="360"/>
        <w:rPr>
          <w:rFonts w:ascii="Georgia" w:hAnsi="Georgia"/>
          <w:color w:val="002060"/>
          <w:sz w:val="24"/>
          <w:szCs w:val="24"/>
          <w:shd w:val="clear" w:color="auto" w:fill="FFFFFF"/>
          <w:lang w:eastAsia="en-IE"/>
        </w:rPr>
      </w:pPr>
    </w:p>
    <w:p w14:paraId="5F78CD97" w14:textId="720C97FC" w:rsidR="002D64CF" w:rsidRDefault="00CE0E53" w:rsidP="00326B8C">
      <w:pPr>
        <w:pStyle w:val="ListParagraph"/>
        <w:numPr>
          <w:ilvl w:val="0"/>
          <w:numId w:val="14"/>
        </w:numPr>
        <w:spacing w:after="0" w:line="480" w:lineRule="auto"/>
        <w:rPr>
          <w:rFonts w:ascii="Georgia" w:eastAsia="Times New Roman" w:hAnsi="Georgia" w:cs="Times New Roman"/>
          <w:b/>
          <w:color w:val="002060"/>
          <w:sz w:val="24"/>
          <w:szCs w:val="24"/>
          <w:lang w:eastAsia="en-IE"/>
        </w:rPr>
      </w:pPr>
      <w:r>
        <w:rPr>
          <w:rFonts w:ascii="Georgia" w:eastAsia="Times New Roman" w:hAnsi="Georgia" w:cs="Times New Roman"/>
          <w:b/>
          <w:color w:val="002060"/>
          <w:sz w:val="24"/>
          <w:szCs w:val="24"/>
          <w:lang w:eastAsia="en-IE"/>
        </w:rPr>
        <w:lastRenderedPageBreak/>
        <w:t>Launch of Research Programme 2024-2026</w:t>
      </w:r>
    </w:p>
    <w:p w14:paraId="7E9D36D9" w14:textId="77777777" w:rsidR="008F468F" w:rsidRPr="008F468F" w:rsidRDefault="00D82084" w:rsidP="008F468F">
      <w:pPr>
        <w:pStyle w:val="Default"/>
        <w:rPr>
          <w:rFonts w:ascii="Proxima Nova Light" w:hAnsi="Proxima Nova Light" w:cs="Proxima Nova Light"/>
        </w:rPr>
      </w:pPr>
      <w:r w:rsidRPr="00D82084">
        <w:rPr>
          <w:rFonts w:ascii="Georgia" w:hAnsi="Georgia"/>
          <w:color w:val="002060"/>
        </w:rPr>
        <w:t xml:space="preserve">The Commission </w:t>
      </w:r>
      <w:r w:rsidR="008F468F">
        <w:rPr>
          <w:rFonts w:ascii="Georgia" w:hAnsi="Georgia"/>
          <w:color w:val="002060"/>
        </w:rPr>
        <w:t>were briefed on the launch of the ACT Research Programme 2024-2026, which took place on Wednesday 10</w:t>
      </w:r>
      <w:r w:rsidR="008F468F" w:rsidRPr="008F468F">
        <w:rPr>
          <w:rFonts w:ascii="Georgia" w:hAnsi="Georgia"/>
          <w:color w:val="002060"/>
          <w:vertAlign w:val="superscript"/>
        </w:rPr>
        <w:t>th</w:t>
      </w:r>
      <w:r w:rsidR="008F468F">
        <w:rPr>
          <w:rFonts w:ascii="Georgia" w:hAnsi="Georgia"/>
          <w:color w:val="002060"/>
        </w:rPr>
        <w:t xml:space="preserve"> July at the</w:t>
      </w:r>
      <w:r w:rsidR="008F468F" w:rsidRPr="008F468F">
        <w:rPr>
          <w:rFonts w:ascii="Georgia" w:hAnsi="Georgia"/>
          <w:color w:val="002060"/>
        </w:rPr>
        <w:t xml:space="preserve"> </w:t>
      </w:r>
      <w:r w:rsidR="008F468F">
        <w:rPr>
          <w:rFonts w:ascii="Georgia" w:hAnsi="Georgia"/>
          <w:color w:val="002060"/>
        </w:rPr>
        <w:t xml:space="preserve">Royal Irish Academy, Dawson Street.  </w:t>
      </w:r>
    </w:p>
    <w:p w14:paraId="398C87B1" w14:textId="1CF06CBE" w:rsidR="008F468F" w:rsidRDefault="008F468F" w:rsidP="008F468F">
      <w:pPr>
        <w:pStyle w:val="NormalWeb"/>
        <w:spacing w:before="0" w:beforeAutospacing="0" w:after="225" w:afterAutospacing="0" w:line="300" w:lineRule="atLeast"/>
        <w:rPr>
          <w:rFonts w:ascii="Georgia" w:eastAsiaTheme="minorHAnsi" w:hAnsi="Georgia" w:cstheme="minorBidi"/>
          <w:color w:val="002060"/>
          <w:lang w:eastAsia="en-US"/>
        </w:rPr>
      </w:pPr>
      <w:r>
        <w:rPr>
          <w:rFonts w:ascii="Georgia" w:eastAsiaTheme="minorHAnsi" w:hAnsi="Georgia" w:cstheme="minorBidi"/>
          <w:color w:val="002060"/>
          <w:lang w:eastAsia="en-US"/>
        </w:rPr>
        <w:t>The</w:t>
      </w:r>
      <w:r w:rsidRPr="008F468F">
        <w:rPr>
          <w:rFonts w:ascii="Georgia" w:eastAsiaTheme="minorHAnsi" w:hAnsi="Georgia" w:cstheme="minorBidi"/>
          <w:color w:val="002060"/>
          <w:lang w:eastAsia="en-US"/>
        </w:rPr>
        <w:t xml:space="preserve"> programme document sets out the vision and values unde</w:t>
      </w:r>
      <w:r>
        <w:rPr>
          <w:rFonts w:ascii="Georgia" w:eastAsiaTheme="minorHAnsi" w:hAnsi="Georgia" w:cstheme="minorBidi"/>
          <w:color w:val="002060"/>
          <w:lang w:eastAsia="en-US"/>
        </w:rPr>
        <w:t>rpinning An Coimisiún’s approach</w:t>
      </w:r>
      <w:r w:rsidRPr="008F468F">
        <w:rPr>
          <w:rFonts w:ascii="Georgia" w:eastAsiaTheme="minorHAnsi" w:hAnsi="Georgia" w:cstheme="minorBidi"/>
          <w:color w:val="002060"/>
          <w:lang w:eastAsia="en-US"/>
        </w:rPr>
        <w:t xml:space="preserve"> to its research and proposed suggested thematic strands to structure the research programme.</w:t>
      </w:r>
    </w:p>
    <w:p w14:paraId="3932EDE3" w14:textId="5ED2837B" w:rsidR="008F468F" w:rsidRPr="008F468F" w:rsidRDefault="008F468F" w:rsidP="008F468F">
      <w:pPr>
        <w:pStyle w:val="NormalWeb"/>
        <w:numPr>
          <w:ilvl w:val="0"/>
          <w:numId w:val="14"/>
        </w:numPr>
        <w:spacing w:before="0" w:beforeAutospacing="0" w:after="225" w:afterAutospacing="0" w:line="300" w:lineRule="atLeast"/>
        <w:rPr>
          <w:rFonts w:ascii="Georgia" w:eastAsiaTheme="minorHAnsi" w:hAnsi="Georgia" w:cstheme="minorBidi"/>
          <w:b/>
          <w:color w:val="002060"/>
          <w:lang w:eastAsia="en-US"/>
        </w:rPr>
      </w:pPr>
      <w:r w:rsidRPr="008F468F">
        <w:rPr>
          <w:rFonts w:ascii="Georgia" w:eastAsiaTheme="minorHAnsi" w:hAnsi="Georgia" w:cstheme="minorBidi"/>
          <w:b/>
          <w:color w:val="002060"/>
          <w:lang w:eastAsia="en-US"/>
        </w:rPr>
        <w:t>March ’24 PEER Report</w:t>
      </w:r>
    </w:p>
    <w:p w14:paraId="3417AABE" w14:textId="496518A3" w:rsidR="00CE0E53" w:rsidRDefault="00CE0E53" w:rsidP="00CE0E53">
      <w:pPr>
        <w:pStyle w:val="NormalWeb"/>
        <w:spacing w:before="0" w:beforeAutospacing="0" w:after="225" w:afterAutospacing="0" w:line="300" w:lineRule="atLeast"/>
        <w:rPr>
          <w:rFonts w:ascii="Georgia" w:hAnsi="Georgia" w:cs="Arial"/>
          <w:color w:val="002060"/>
          <w:shd w:val="clear" w:color="auto" w:fill="FFFFFF"/>
        </w:rPr>
      </w:pPr>
      <w:r w:rsidRPr="00CE0E53">
        <w:rPr>
          <w:rFonts w:ascii="Georgia" w:eastAsiaTheme="minorHAnsi" w:hAnsi="Georgia" w:cstheme="minorBidi"/>
          <w:color w:val="002060"/>
          <w:lang w:eastAsia="en-US"/>
        </w:rPr>
        <w:t>The Commis</w:t>
      </w:r>
      <w:r w:rsidR="00E56384">
        <w:rPr>
          <w:rFonts w:ascii="Georgia" w:eastAsiaTheme="minorHAnsi" w:hAnsi="Georgia" w:cstheme="minorBidi"/>
          <w:color w:val="002060"/>
          <w:lang w:eastAsia="en-US"/>
        </w:rPr>
        <w:t xml:space="preserve">sion were provided </w:t>
      </w:r>
      <w:r w:rsidR="00B929E7">
        <w:rPr>
          <w:rFonts w:ascii="Georgia" w:eastAsiaTheme="minorHAnsi" w:hAnsi="Georgia" w:cstheme="minorBidi"/>
          <w:color w:val="002060"/>
          <w:lang w:eastAsia="en-US"/>
        </w:rPr>
        <w:t xml:space="preserve">with </w:t>
      </w:r>
      <w:r w:rsidR="00E56384">
        <w:rPr>
          <w:rFonts w:ascii="Georgia" w:eastAsiaTheme="minorHAnsi" w:hAnsi="Georgia" w:cstheme="minorBidi"/>
          <w:color w:val="002060"/>
          <w:lang w:eastAsia="en-US"/>
        </w:rPr>
        <w:t>a copy of a</w:t>
      </w:r>
      <w:r w:rsidRPr="00CE0E53">
        <w:rPr>
          <w:rFonts w:ascii="Georgia" w:eastAsiaTheme="minorHAnsi" w:hAnsi="Georgia" w:cstheme="minorBidi"/>
          <w:color w:val="002060"/>
          <w:lang w:eastAsia="en-US"/>
        </w:rPr>
        <w:t xml:space="preserve"> draft </w:t>
      </w:r>
      <w:r w:rsidRPr="00CE0E53">
        <w:rPr>
          <w:rFonts w:ascii="Georgia" w:hAnsi="Georgia" w:cs="Arial"/>
          <w:color w:val="002060"/>
          <w:shd w:val="clear" w:color="auto" w:fill="FFFFFF"/>
        </w:rPr>
        <w:t xml:space="preserve">March ’24 </w:t>
      </w:r>
      <w:r w:rsidRPr="004D13F9">
        <w:rPr>
          <w:rFonts w:ascii="Georgia" w:hAnsi="Georgia" w:cs="Arial"/>
          <w:color w:val="002060"/>
          <w:shd w:val="clear" w:color="auto" w:fill="FFFFFF"/>
        </w:rPr>
        <w:t>pos</w:t>
      </w:r>
      <w:r w:rsidRPr="00CE0E53">
        <w:rPr>
          <w:rFonts w:ascii="Georgia" w:hAnsi="Georgia" w:cs="Arial"/>
          <w:color w:val="002060"/>
          <w:shd w:val="clear" w:color="auto" w:fill="FFFFFF"/>
        </w:rPr>
        <w:t>t electoral event review (PEER)</w:t>
      </w:r>
      <w:r w:rsidRPr="004D13F9">
        <w:rPr>
          <w:rFonts w:ascii="Georgia" w:hAnsi="Georgia" w:cs="Arial"/>
          <w:color w:val="002060"/>
          <w:shd w:val="clear" w:color="auto" w:fill="FFFFFF"/>
        </w:rPr>
        <w:t xml:space="preserve"> report</w:t>
      </w:r>
      <w:r w:rsidRPr="00CE0E53">
        <w:rPr>
          <w:rFonts w:ascii="Georgia" w:hAnsi="Georgia" w:cs="Arial"/>
          <w:color w:val="002060"/>
          <w:shd w:val="clear" w:color="auto" w:fill="FFFFFF"/>
        </w:rPr>
        <w:t xml:space="preserve"> for consideration.  The report will </w:t>
      </w:r>
      <w:r w:rsidR="00C05360">
        <w:rPr>
          <w:rFonts w:ascii="Georgia" w:hAnsi="Georgia" w:cs="Arial"/>
          <w:color w:val="002060"/>
          <w:shd w:val="clear" w:color="auto" w:fill="FFFFFF"/>
        </w:rPr>
        <w:t xml:space="preserve">shortly </w:t>
      </w:r>
      <w:r w:rsidRPr="00CE0E53">
        <w:rPr>
          <w:rFonts w:ascii="Georgia" w:hAnsi="Georgia" w:cs="Arial"/>
          <w:color w:val="002060"/>
          <w:shd w:val="clear" w:color="auto" w:fill="FFFFFF"/>
        </w:rPr>
        <w:t xml:space="preserve">be </w:t>
      </w:r>
      <w:r w:rsidR="00C05360">
        <w:rPr>
          <w:rFonts w:ascii="Georgia" w:hAnsi="Georgia" w:cs="Arial"/>
          <w:color w:val="002060"/>
          <w:shd w:val="clear" w:color="auto" w:fill="FFFFFF"/>
        </w:rPr>
        <w:t>approved</w:t>
      </w:r>
      <w:r w:rsidRPr="00CE0E53">
        <w:rPr>
          <w:rFonts w:ascii="Georgia" w:hAnsi="Georgia" w:cs="Arial"/>
          <w:color w:val="002060"/>
          <w:shd w:val="clear" w:color="auto" w:fill="FFFFFF"/>
        </w:rPr>
        <w:t xml:space="preserve"> by the </w:t>
      </w:r>
      <w:r w:rsidR="00C05360">
        <w:rPr>
          <w:rFonts w:ascii="Georgia" w:hAnsi="Georgia" w:cs="Arial"/>
          <w:color w:val="002060"/>
          <w:shd w:val="clear" w:color="auto" w:fill="FFFFFF"/>
        </w:rPr>
        <w:t xml:space="preserve">Commission </w:t>
      </w:r>
      <w:r w:rsidRPr="00CE0E53">
        <w:rPr>
          <w:rFonts w:ascii="Georgia" w:hAnsi="Georgia" w:cs="Arial"/>
          <w:color w:val="002060"/>
          <w:shd w:val="clear" w:color="auto" w:fill="FFFFFF"/>
        </w:rPr>
        <w:t xml:space="preserve">and published </w:t>
      </w:r>
      <w:r w:rsidR="00C05360">
        <w:rPr>
          <w:rFonts w:ascii="Georgia" w:hAnsi="Georgia" w:cs="Arial"/>
          <w:color w:val="002060"/>
          <w:shd w:val="clear" w:color="auto" w:fill="FFFFFF"/>
        </w:rPr>
        <w:t>in the coming weeks, in advance of being</w:t>
      </w:r>
      <w:r w:rsidR="00E56384">
        <w:rPr>
          <w:rFonts w:ascii="Georgia" w:hAnsi="Georgia" w:cs="Arial"/>
          <w:color w:val="002060"/>
          <w:shd w:val="clear" w:color="auto" w:fill="FFFFFF"/>
        </w:rPr>
        <w:t xml:space="preserve"> laid before the Houses of the O</w:t>
      </w:r>
      <w:r w:rsidR="00C05360">
        <w:rPr>
          <w:rFonts w:ascii="Georgia" w:hAnsi="Georgia" w:cs="Arial"/>
          <w:color w:val="002060"/>
          <w:shd w:val="clear" w:color="auto" w:fill="FFFFFF"/>
        </w:rPr>
        <w:t>ireachtas before</w:t>
      </w:r>
      <w:r w:rsidR="00E56384">
        <w:rPr>
          <w:rFonts w:ascii="Georgia" w:hAnsi="Georgia" w:cs="Arial"/>
          <w:color w:val="002060"/>
          <w:shd w:val="clear" w:color="auto" w:fill="FFFFFF"/>
        </w:rPr>
        <w:t xml:space="preserve"> 8</w:t>
      </w:r>
      <w:r w:rsidR="00E56384" w:rsidRPr="00E56384">
        <w:rPr>
          <w:rFonts w:ascii="Georgia" w:hAnsi="Georgia" w:cs="Arial"/>
          <w:color w:val="002060"/>
          <w:shd w:val="clear" w:color="auto" w:fill="FFFFFF"/>
          <w:vertAlign w:val="superscript"/>
        </w:rPr>
        <w:t>th</w:t>
      </w:r>
      <w:r w:rsidR="00E56384">
        <w:rPr>
          <w:rFonts w:ascii="Georgia" w:hAnsi="Georgia" w:cs="Arial"/>
          <w:color w:val="002060"/>
          <w:shd w:val="clear" w:color="auto" w:fill="FFFFFF"/>
        </w:rPr>
        <w:t xml:space="preserve"> September 2024.</w:t>
      </w:r>
    </w:p>
    <w:p w14:paraId="2554E756" w14:textId="10D2F06F" w:rsidR="00CE0E53" w:rsidRDefault="00CE0E53" w:rsidP="00CE0E53">
      <w:pPr>
        <w:pStyle w:val="NormalWeb"/>
        <w:numPr>
          <w:ilvl w:val="0"/>
          <w:numId w:val="14"/>
        </w:numPr>
        <w:spacing w:before="0" w:beforeAutospacing="0" w:after="225" w:afterAutospacing="0" w:line="300" w:lineRule="atLeast"/>
        <w:rPr>
          <w:rFonts w:ascii="Georgia" w:hAnsi="Georgia" w:cs="Arial"/>
          <w:b/>
          <w:color w:val="002060"/>
          <w:shd w:val="clear" w:color="auto" w:fill="FFFFFF"/>
        </w:rPr>
      </w:pPr>
      <w:r>
        <w:rPr>
          <w:rFonts w:ascii="Georgia" w:hAnsi="Georgia" w:cs="Arial"/>
          <w:b/>
          <w:color w:val="002060"/>
          <w:shd w:val="clear" w:color="auto" w:fill="FFFFFF"/>
        </w:rPr>
        <w:t>March ’24 Referendum Report</w:t>
      </w:r>
    </w:p>
    <w:p w14:paraId="075E8B46" w14:textId="662D4251" w:rsidR="009417F6" w:rsidRPr="00C05360" w:rsidRDefault="009417F6" w:rsidP="009417F6">
      <w:pPr>
        <w:pStyle w:val="NormalWeb"/>
        <w:spacing w:before="0" w:beforeAutospacing="0" w:after="225" w:afterAutospacing="0" w:line="300" w:lineRule="atLeast"/>
        <w:rPr>
          <w:rFonts w:ascii="Georgia" w:hAnsi="Georgia" w:cs="Arial"/>
          <w:color w:val="002060"/>
          <w:shd w:val="clear" w:color="auto" w:fill="FFFFFF"/>
        </w:rPr>
      </w:pPr>
      <w:r w:rsidRPr="00C05360">
        <w:rPr>
          <w:rFonts w:ascii="Georgia" w:hAnsi="Georgia" w:cs="Arial"/>
          <w:color w:val="002060"/>
          <w:shd w:val="clear" w:color="auto" w:fill="FFFFFF"/>
        </w:rPr>
        <w:t xml:space="preserve">The Commission approved the March ’24 Referendum Report, which sets out the role </w:t>
      </w:r>
      <w:r w:rsidR="00C05360" w:rsidRPr="00C05360">
        <w:rPr>
          <w:rFonts w:ascii="Georgia" w:hAnsi="Georgia" w:cs="Arial"/>
          <w:color w:val="002060"/>
          <w:shd w:val="clear" w:color="auto" w:fill="FFFFFF"/>
        </w:rPr>
        <w:t xml:space="preserve">and Referendum campaign </w:t>
      </w:r>
      <w:r w:rsidRPr="00C05360">
        <w:rPr>
          <w:rFonts w:ascii="Georgia" w:hAnsi="Georgia" w:cs="Arial"/>
          <w:color w:val="002060"/>
          <w:shd w:val="clear" w:color="auto" w:fill="FFFFFF"/>
        </w:rPr>
        <w:t>of An</w:t>
      </w:r>
      <w:r w:rsidR="00EA2D16">
        <w:rPr>
          <w:rFonts w:ascii="Georgia" w:hAnsi="Georgia" w:cs="Arial"/>
          <w:color w:val="002060"/>
          <w:shd w:val="clear" w:color="auto" w:fill="FFFFFF"/>
        </w:rPr>
        <w:t xml:space="preserve"> Coimisiún Toghcháin for</w:t>
      </w:r>
      <w:r w:rsidRPr="00C05360">
        <w:rPr>
          <w:rFonts w:ascii="Georgia" w:hAnsi="Georgia" w:cs="Arial"/>
          <w:color w:val="002060"/>
          <w:shd w:val="clear" w:color="auto" w:fill="FFFFFF"/>
        </w:rPr>
        <w:t xml:space="preserve"> the proposed thirty-ninth amendment of the Constitution (The Family) Bill 2023, and the fortieth amendment of the Constitution (Care) Bill 2023</w:t>
      </w:r>
      <w:r w:rsidR="00C05360" w:rsidRPr="00C05360">
        <w:rPr>
          <w:rFonts w:ascii="Georgia" w:hAnsi="Georgia" w:cs="Arial"/>
          <w:color w:val="002060"/>
          <w:shd w:val="clear" w:color="auto" w:fill="FFFFFF"/>
        </w:rPr>
        <w:t>. This report will be published on Monday 15</w:t>
      </w:r>
      <w:r w:rsidR="00C05360" w:rsidRPr="00C05360">
        <w:rPr>
          <w:rFonts w:ascii="Georgia" w:hAnsi="Georgia" w:cs="Arial"/>
          <w:color w:val="002060"/>
          <w:shd w:val="clear" w:color="auto" w:fill="FFFFFF"/>
          <w:vertAlign w:val="superscript"/>
        </w:rPr>
        <w:t>th</w:t>
      </w:r>
      <w:r w:rsidR="00C05360" w:rsidRPr="00C05360">
        <w:rPr>
          <w:rFonts w:ascii="Georgia" w:hAnsi="Georgia" w:cs="Arial"/>
          <w:color w:val="002060"/>
          <w:shd w:val="clear" w:color="auto" w:fill="FFFFFF"/>
        </w:rPr>
        <w:t xml:space="preserve"> July. </w:t>
      </w:r>
      <w:r w:rsidRPr="00C05360">
        <w:rPr>
          <w:rFonts w:ascii="Georgia" w:hAnsi="Georgia" w:cs="Arial"/>
          <w:color w:val="002060"/>
          <w:shd w:val="clear" w:color="auto" w:fill="FFFFFF"/>
        </w:rPr>
        <w:t xml:space="preserve"> </w:t>
      </w:r>
    </w:p>
    <w:p w14:paraId="3D9161E0" w14:textId="28C7938A" w:rsidR="00326B8C" w:rsidRPr="009417F6" w:rsidRDefault="00537D42" w:rsidP="00326B8C">
      <w:pPr>
        <w:pStyle w:val="ListParagraph"/>
        <w:numPr>
          <w:ilvl w:val="0"/>
          <w:numId w:val="14"/>
        </w:numPr>
        <w:spacing w:after="0" w:line="288" w:lineRule="auto"/>
        <w:rPr>
          <w:rFonts w:ascii="Georgia" w:hAnsi="Georgia"/>
          <w:b/>
          <w:color w:val="002060"/>
          <w:sz w:val="24"/>
          <w:szCs w:val="24"/>
        </w:rPr>
      </w:pPr>
      <w:r>
        <w:rPr>
          <w:rFonts w:ascii="Georgia" w:eastAsia="Times New Roman" w:hAnsi="Georgia"/>
          <w:b/>
          <w:color w:val="002060"/>
          <w:sz w:val="24"/>
          <w:szCs w:val="24"/>
        </w:rPr>
        <w:t>Budget Estimates 2025</w:t>
      </w:r>
    </w:p>
    <w:p w14:paraId="78E77732" w14:textId="2902D9B0" w:rsidR="00C05360" w:rsidRDefault="009417F6" w:rsidP="009417F6">
      <w:pPr>
        <w:spacing w:after="0" w:line="288" w:lineRule="auto"/>
        <w:rPr>
          <w:rFonts w:ascii="Georgia" w:hAnsi="Georgia"/>
          <w:color w:val="002060"/>
          <w:sz w:val="24"/>
          <w:szCs w:val="24"/>
        </w:rPr>
      </w:pPr>
      <w:r w:rsidRPr="009417F6">
        <w:rPr>
          <w:rFonts w:ascii="Georgia" w:hAnsi="Georgia"/>
          <w:color w:val="002060"/>
          <w:sz w:val="24"/>
          <w:szCs w:val="24"/>
        </w:rPr>
        <w:t>In advance of Budget Day 2025 which will be held on 1</w:t>
      </w:r>
      <w:r w:rsidRPr="009417F6">
        <w:rPr>
          <w:rFonts w:ascii="Georgia" w:hAnsi="Georgia"/>
          <w:color w:val="002060"/>
          <w:sz w:val="24"/>
          <w:szCs w:val="24"/>
          <w:vertAlign w:val="superscript"/>
        </w:rPr>
        <w:t>st</w:t>
      </w:r>
      <w:r w:rsidRPr="009417F6">
        <w:rPr>
          <w:rFonts w:ascii="Georgia" w:hAnsi="Georgia"/>
          <w:color w:val="002060"/>
          <w:sz w:val="24"/>
          <w:szCs w:val="24"/>
        </w:rPr>
        <w:t xml:space="preserve"> October 2024, the Commission discussed An Coimisiún Toghcháin submission of the ACT 2025 Budget estimate to the Department of Housing Local Government and Heritage. This submission will be collated as part of the Housing Vote Group submission to the Department of Public Expenditure, NDP Delivery and Reform. </w:t>
      </w:r>
    </w:p>
    <w:p w14:paraId="6D65FFB7" w14:textId="77777777" w:rsidR="00C05360" w:rsidRPr="009417F6" w:rsidRDefault="00C05360" w:rsidP="009417F6">
      <w:pPr>
        <w:spacing w:after="0" w:line="288" w:lineRule="auto"/>
        <w:rPr>
          <w:rFonts w:ascii="Georgia" w:hAnsi="Georgia"/>
          <w:color w:val="002060"/>
          <w:sz w:val="24"/>
          <w:szCs w:val="24"/>
        </w:rPr>
      </w:pPr>
    </w:p>
    <w:p w14:paraId="5E4CC101" w14:textId="3B8AF0FD" w:rsidR="009417F6" w:rsidRPr="00C05360" w:rsidRDefault="009417F6" w:rsidP="00C05360">
      <w:pPr>
        <w:pStyle w:val="ListParagraph"/>
        <w:numPr>
          <w:ilvl w:val="0"/>
          <w:numId w:val="14"/>
        </w:numPr>
        <w:spacing w:after="0" w:line="480" w:lineRule="auto"/>
        <w:rPr>
          <w:rFonts w:ascii="Georgia" w:eastAsia="Times New Roman" w:hAnsi="Georgia" w:cs="Calibri"/>
          <w:b/>
          <w:color w:val="002060"/>
          <w:sz w:val="24"/>
          <w:szCs w:val="24"/>
          <w:lang w:eastAsia="en-IE"/>
        </w:rPr>
      </w:pPr>
      <w:r w:rsidRPr="00C05360">
        <w:rPr>
          <w:rFonts w:ascii="Georgia" w:eastAsia="Times New Roman" w:hAnsi="Georgia" w:cs="Calibri"/>
          <w:color w:val="002060"/>
          <w:sz w:val="24"/>
          <w:szCs w:val="24"/>
          <w:lang w:eastAsia="en-IE"/>
        </w:rPr>
        <w:t xml:space="preserve">  </w:t>
      </w:r>
      <w:r w:rsidR="00C05360" w:rsidRPr="00C05360">
        <w:rPr>
          <w:rFonts w:ascii="Georgia" w:eastAsia="Times New Roman" w:hAnsi="Georgia" w:cs="Calibri"/>
          <w:b/>
          <w:color w:val="002060"/>
          <w:sz w:val="24"/>
          <w:szCs w:val="24"/>
          <w:lang w:eastAsia="en-IE"/>
        </w:rPr>
        <w:t xml:space="preserve">Recommendation for appointment of two additional Commission </w:t>
      </w:r>
      <w:r w:rsidR="00C05360">
        <w:rPr>
          <w:rFonts w:ascii="Georgia" w:eastAsia="Times New Roman" w:hAnsi="Georgia" w:cs="Calibri"/>
          <w:b/>
          <w:color w:val="002060"/>
          <w:sz w:val="24"/>
          <w:szCs w:val="24"/>
          <w:lang w:eastAsia="en-IE"/>
        </w:rPr>
        <w:t xml:space="preserve">    </w:t>
      </w:r>
      <w:r w:rsidR="00C05360" w:rsidRPr="00C05360">
        <w:rPr>
          <w:rFonts w:ascii="Georgia" w:eastAsia="Times New Roman" w:hAnsi="Georgia" w:cs="Calibri"/>
          <w:b/>
          <w:color w:val="002060"/>
          <w:sz w:val="24"/>
          <w:szCs w:val="24"/>
          <w:lang w:eastAsia="en-IE"/>
        </w:rPr>
        <w:t>Members</w:t>
      </w:r>
    </w:p>
    <w:p w14:paraId="77C5374E" w14:textId="781C4D4E" w:rsidR="00C05360" w:rsidRDefault="00C05360" w:rsidP="00C05360">
      <w:pPr>
        <w:spacing w:after="0" w:line="288" w:lineRule="auto"/>
        <w:rPr>
          <w:rFonts w:ascii="Georgia" w:hAnsi="Georgia"/>
          <w:color w:val="002060"/>
          <w:sz w:val="24"/>
          <w:szCs w:val="24"/>
        </w:rPr>
      </w:pPr>
      <w:r>
        <w:rPr>
          <w:rFonts w:ascii="Georgia" w:hAnsi="Georgia"/>
          <w:color w:val="002060"/>
          <w:sz w:val="24"/>
          <w:szCs w:val="24"/>
        </w:rPr>
        <w:t xml:space="preserve">The </w:t>
      </w:r>
      <w:r w:rsidRPr="00C05360">
        <w:rPr>
          <w:rFonts w:ascii="Georgia" w:hAnsi="Georgia"/>
          <w:color w:val="002060"/>
          <w:sz w:val="24"/>
          <w:szCs w:val="24"/>
        </w:rPr>
        <w:t xml:space="preserve">composition and skillset of the current Commission members were discussed by the </w:t>
      </w:r>
      <w:r>
        <w:rPr>
          <w:rFonts w:ascii="Georgia" w:hAnsi="Georgia"/>
          <w:color w:val="002060"/>
          <w:sz w:val="24"/>
          <w:szCs w:val="24"/>
        </w:rPr>
        <w:t>Commission</w:t>
      </w:r>
      <w:r w:rsidRPr="00C05360">
        <w:rPr>
          <w:rFonts w:ascii="Georgia" w:hAnsi="Georgia"/>
          <w:color w:val="002060"/>
          <w:sz w:val="24"/>
          <w:szCs w:val="24"/>
        </w:rPr>
        <w:t xml:space="preserve">, along with the possibility of increasing membership by an additional two members, as allowed for in The Electoral Reform Act. </w:t>
      </w:r>
    </w:p>
    <w:p w14:paraId="70CE97C7" w14:textId="630F24DE" w:rsidR="00C05360" w:rsidRDefault="00C05360" w:rsidP="00C05360">
      <w:pPr>
        <w:spacing w:after="0" w:line="288" w:lineRule="auto"/>
        <w:rPr>
          <w:rFonts w:ascii="Georgia" w:hAnsi="Georgia"/>
          <w:color w:val="002060"/>
          <w:sz w:val="24"/>
          <w:szCs w:val="24"/>
        </w:rPr>
      </w:pPr>
    </w:p>
    <w:p w14:paraId="57063E40" w14:textId="68A909C0" w:rsidR="00C05360" w:rsidRPr="00B929E7" w:rsidRDefault="00C05360" w:rsidP="00C05360">
      <w:pPr>
        <w:pStyle w:val="ListParagraph"/>
        <w:numPr>
          <w:ilvl w:val="0"/>
          <w:numId w:val="14"/>
        </w:numPr>
        <w:spacing w:after="0" w:line="288" w:lineRule="auto"/>
        <w:rPr>
          <w:rFonts w:ascii="Georgia" w:hAnsi="Georgia"/>
          <w:b/>
          <w:color w:val="002060"/>
          <w:sz w:val="24"/>
          <w:szCs w:val="24"/>
        </w:rPr>
      </w:pPr>
      <w:r w:rsidRPr="00C05360">
        <w:rPr>
          <w:rFonts w:ascii="Georgia" w:eastAsia="Times New Roman" w:hAnsi="Georgia"/>
          <w:b/>
          <w:color w:val="002060"/>
          <w:sz w:val="24"/>
          <w:szCs w:val="24"/>
        </w:rPr>
        <w:t>Risk Management Policy – Risk appetite</w:t>
      </w:r>
    </w:p>
    <w:p w14:paraId="37E7F586" w14:textId="77777777" w:rsidR="00B929E7" w:rsidRPr="008F5C31" w:rsidRDefault="00B929E7" w:rsidP="00B929E7">
      <w:pPr>
        <w:pStyle w:val="ListParagraph"/>
        <w:spacing w:after="0" w:line="288" w:lineRule="auto"/>
        <w:rPr>
          <w:rFonts w:ascii="Georgia" w:hAnsi="Georgia"/>
          <w:b/>
          <w:color w:val="002060"/>
          <w:sz w:val="24"/>
          <w:szCs w:val="24"/>
        </w:rPr>
      </w:pPr>
    </w:p>
    <w:p w14:paraId="646CEF96" w14:textId="60B6A15C" w:rsidR="008F5C31" w:rsidRDefault="008F5C31" w:rsidP="008F5C31">
      <w:pPr>
        <w:spacing w:after="0" w:line="288" w:lineRule="auto"/>
        <w:rPr>
          <w:rFonts w:ascii="Georgia" w:hAnsi="Georgia"/>
          <w:color w:val="002060"/>
          <w:sz w:val="24"/>
          <w:szCs w:val="24"/>
        </w:rPr>
      </w:pPr>
      <w:r w:rsidRPr="008F5C31">
        <w:rPr>
          <w:rFonts w:ascii="Georgia" w:hAnsi="Georgia"/>
          <w:color w:val="002060"/>
          <w:sz w:val="24"/>
          <w:szCs w:val="24"/>
        </w:rPr>
        <w:t xml:space="preserve">The Risk Management Policy </w:t>
      </w:r>
      <w:r>
        <w:rPr>
          <w:rFonts w:ascii="Georgia" w:hAnsi="Georgia"/>
          <w:color w:val="002060"/>
          <w:sz w:val="24"/>
          <w:szCs w:val="24"/>
        </w:rPr>
        <w:t xml:space="preserve">and recommendations on risk appetite </w:t>
      </w:r>
      <w:r w:rsidRPr="008F5C31">
        <w:rPr>
          <w:rFonts w:ascii="Georgia" w:hAnsi="Georgia"/>
          <w:color w:val="002060"/>
          <w:sz w:val="24"/>
          <w:szCs w:val="24"/>
        </w:rPr>
        <w:t xml:space="preserve">was presented to the Commission for a formal decision.  The Commission discussed and recommended </w:t>
      </w:r>
      <w:r>
        <w:rPr>
          <w:rFonts w:ascii="Georgia" w:hAnsi="Georgia"/>
          <w:color w:val="002060"/>
          <w:sz w:val="24"/>
          <w:szCs w:val="24"/>
        </w:rPr>
        <w:t xml:space="preserve">review at </w:t>
      </w:r>
      <w:r w:rsidRPr="008F5C31">
        <w:rPr>
          <w:rFonts w:ascii="Georgia" w:hAnsi="Georgia"/>
          <w:color w:val="002060"/>
          <w:sz w:val="24"/>
          <w:szCs w:val="24"/>
        </w:rPr>
        <w:t>regular intervals</w:t>
      </w:r>
      <w:r>
        <w:rPr>
          <w:rFonts w:ascii="Georgia" w:hAnsi="Georgia"/>
          <w:color w:val="002060"/>
          <w:sz w:val="24"/>
          <w:szCs w:val="24"/>
        </w:rPr>
        <w:t xml:space="preserve">, </w:t>
      </w:r>
      <w:r w:rsidRPr="008F5C31">
        <w:rPr>
          <w:rFonts w:ascii="Georgia" w:hAnsi="Georgia"/>
          <w:color w:val="002060"/>
          <w:sz w:val="24"/>
          <w:szCs w:val="24"/>
        </w:rPr>
        <w:t xml:space="preserve">as higher levels of Risk may be required during specific times/events. </w:t>
      </w:r>
    </w:p>
    <w:p w14:paraId="59593C5C" w14:textId="4ADD27EE" w:rsidR="008F5C31" w:rsidRDefault="008F5C31" w:rsidP="008F5C31">
      <w:pPr>
        <w:spacing w:after="0" w:line="288" w:lineRule="auto"/>
        <w:rPr>
          <w:rFonts w:ascii="Georgia" w:hAnsi="Georgia"/>
          <w:b/>
          <w:color w:val="002060"/>
          <w:sz w:val="24"/>
          <w:szCs w:val="24"/>
        </w:rPr>
      </w:pPr>
    </w:p>
    <w:p w14:paraId="2151B9DE" w14:textId="77777777" w:rsidR="00E51D1A" w:rsidRPr="008F5C31" w:rsidRDefault="00E51D1A" w:rsidP="008F5C31">
      <w:pPr>
        <w:spacing w:after="0" w:line="288" w:lineRule="auto"/>
        <w:rPr>
          <w:rFonts w:ascii="Georgia" w:hAnsi="Georgia"/>
          <w:b/>
          <w:color w:val="002060"/>
          <w:sz w:val="24"/>
          <w:szCs w:val="24"/>
        </w:rPr>
      </w:pPr>
    </w:p>
    <w:p w14:paraId="261F343D" w14:textId="75871DA3" w:rsidR="008F5C31" w:rsidRPr="008F5C31" w:rsidRDefault="008F5C31" w:rsidP="008F5C31">
      <w:pPr>
        <w:pStyle w:val="ListParagraph"/>
        <w:numPr>
          <w:ilvl w:val="0"/>
          <w:numId w:val="14"/>
        </w:numPr>
        <w:spacing w:after="0" w:line="288" w:lineRule="auto"/>
        <w:rPr>
          <w:rFonts w:ascii="Georgia" w:hAnsi="Georgia"/>
          <w:b/>
          <w:color w:val="002060"/>
          <w:sz w:val="24"/>
          <w:szCs w:val="24"/>
        </w:rPr>
      </w:pPr>
      <w:r w:rsidRPr="008F5C31">
        <w:rPr>
          <w:rFonts w:ascii="Georgia" w:hAnsi="Georgia"/>
          <w:b/>
          <w:color w:val="002060"/>
          <w:sz w:val="24"/>
          <w:szCs w:val="24"/>
        </w:rPr>
        <w:t>Noted by the Commission</w:t>
      </w:r>
    </w:p>
    <w:p w14:paraId="233FEDCA" w14:textId="42B9F8A3" w:rsidR="008F5C31" w:rsidRDefault="008F5C31" w:rsidP="008F5C31">
      <w:pPr>
        <w:pStyle w:val="ListParagraph"/>
        <w:numPr>
          <w:ilvl w:val="0"/>
          <w:numId w:val="36"/>
        </w:numPr>
        <w:spacing w:after="0" w:line="288" w:lineRule="auto"/>
        <w:rPr>
          <w:rFonts w:ascii="Georgia" w:hAnsi="Georgia"/>
          <w:color w:val="002060"/>
          <w:sz w:val="24"/>
          <w:szCs w:val="24"/>
        </w:rPr>
      </w:pPr>
      <w:r>
        <w:rPr>
          <w:rFonts w:ascii="Georgia" w:hAnsi="Georgia"/>
          <w:color w:val="002060"/>
          <w:sz w:val="24"/>
          <w:szCs w:val="24"/>
        </w:rPr>
        <w:t>Note of Self Evaluation Working Group</w:t>
      </w:r>
    </w:p>
    <w:p w14:paraId="7384626C" w14:textId="6C844D63" w:rsidR="008F5C31" w:rsidRPr="008F5C31" w:rsidRDefault="008F5C31" w:rsidP="008F5C31">
      <w:pPr>
        <w:pStyle w:val="ListParagraph"/>
        <w:numPr>
          <w:ilvl w:val="0"/>
          <w:numId w:val="36"/>
        </w:numPr>
        <w:spacing w:after="0" w:line="288" w:lineRule="auto"/>
        <w:rPr>
          <w:rFonts w:ascii="Georgia" w:hAnsi="Georgia"/>
          <w:color w:val="002060"/>
          <w:sz w:val="24"/>
          <w:szCs w:val="24"/>
        </w:rPr>
      </w:pPr>
      <w:r>
        <w:rPr>
          <w:rFonts w:ascii="Georgia" w:hAnsi="Georgia"/>
          <w:color w:val="002060"/>
          <w:sz w:val="24"/>
          <w:szCs w:val="24"/>
        </w:rPr>
        <w:t>Corporate Governance Framework</w:t>
      </w:r>
    </w:p>
    <w:p w14:paraId="53B07351" w14:textId="07E0E55D" w:rsidR="00DC60FC" w:rsidRDefault="00DC60FC" w:rsidP="00DC60FC">
      <w:pPr>
        <w:pStyle w:val="s8"/>
        <w:spacing w:before="0" w:beforeAutospacing="0" w:after="0" w:afterAutospacing="0"/>
        <w:rPr>
          <w:rFonts w:ascii="Georgia" w:hAnsi="Georgia" w:cstheme="minorBidi"/>
          <w:b/>
          <w:color w:val="002060"/>
          <w:lang w:eastAsia="en-US"/>
        </w:rPr>
      </w:pPr>
    </w:p>
    <w:p w14:paraId="59CBCB7E" w14:textId="2C061530" w:rsidR="00E51D1A" w:rsidRDefault="00E51D1A" w:rsidP="00DC60FC">
      <w:pPr>
        <w:pStyle w:val="s8"/>
        <w:spacing w:before="0" w:beforeAutospacing="0" w:after="0" w:afterAutospacing="0"/>
        <w:rPr>
          <w:rFonts w:ascii="Georgia" w:hAnsi="Georgia" w:cstheme="minorBidi"/>
          <w:b/>
          <w:color w:val="002060"/>
          <w:lang w:eastAsia="en-US"/>
        </w:rPr>
      </w:pPr>
    </w:p>
    <w:p w14:paraId="0067ADA1" w14:textId="77777777" w:rsidR="00E51D1A" w:rsidRPr="00696994" w:rsidRDefault="00E51D1A" w:rsidP="00DC60FC">
      <w:pPr>
        <w:pStyle w:val="s8"/>
        <w:spacing w:before="0" w:beforeAutospacing="0" w:after="0" w:afterAutospacing="0"/>
        <w:rPr>
          <w:color w:val="002060"/>
        </w:rPr>
      </w:pPr>
    </w:p>
    <w:p w14:paraId="6EC5B131" w14:textId="77777777" w:rsidR="00BD56C6" w:rsidRDefault="00BD56C6" w:rsidP="001A6C77">
      <w:pPr>
        <w:spacing w:after="0" w:line="288" w:lineRule="auto"/>
        <w:rPr>
          <w:rFonts w:ascii="Georgia" w:hAnsi="Georgia"/>
          <w:color w:val="002060"/>
          <w:sz w:val="24"/>
          <w:szCs w:val="24"/>
        </w:rPr>
      </w:pPr>
    </w:p>
    <w:p w14:paraId="5692AEE4" w14:textId="7CE07063" w:rsidR="00F12CB7" w:rsidRPr="00E51D1A" w:rsidRDefault="00F12CB7" w:rsidP="00E51D1A">
      <w:pPr>
        <w:pStyle w:val="ListParagraph"/>
        <w:numPr>
          <w:ilvl w:val="0"/>
          <w:numId w:val="14"/>
        </w:numPr>
        <w:spacing w:after="0" w:line="288" w:lineRule="auto"/>
        <w:rPr>
          <w:rFonts w:ascii="Georgia" w:hAnsi="Georgia" w:cs="Arial"/>
          <w:b/>
          <w:color w:val="002060"/>
          <w:sz w:val="24"/>
          <w:szCs w:val="24"/>
          <w:shd w:val="clear" w:color="auto" w:fill="FFFFFF"/>
        </w:rPr>
      </w:pPr>
      <w:r>
        <w:rPr>
          <w:rFonts w:ascii="Georgia" w:hAnsi="Georgia" w:cs="Arial"/>
          <w:b/>
          <w:color w:val="002060"/>
          <w:sz w:val="24"/>
          <w:szCs w:val="24"/>
          <w:shd w:val="clear" w:color="auto" w:fill="FFFFFF"/>
        </w:rPr>
        <w:t xml:space="preserve">AOB </w:t>
      </w:r>
    </w:p>
    <w:p w14:paraId="3B8B63F7" w14:textId="50F9C23A" w:rsidR="0027427E" w:rsidRPr="00E51D1A" w:rsidRDefault="00E51D1A" w:rsidP="00F12CB7">
      <w:pPr>
        <w:spacing w:after="0" w:line="480" w:lineRule="auto"/>
        <w:rPr>
          <w:rFonts w:ascii="Georgia" w:eastAsia="Times New Roman" w:hAnsi="Georgia"/>
          <w:color w:val="002060"/>
          <w:sz w:val="24"/>
          <w:szCs w:val="24"/>
        </w:rPr>
      </w:pPr>
      <w:r>
        <w:rPr>
          <w:rFonts w:ascii="Georgia" w:eastAsia="Times New Roman" w:hAnsi="Georgia"/>
          <w:color w:val="002060"/>
          <w:sz w:val="24"/>
          <w:szCs w:val="24"/>
        </w:rPr>
        <w:t>Legislation briefing on Parts 4 &amp; 5 of the Electoral Reform Act.</w:t>
      </w:r>
    </w:p>
    <w:p w14:paraId="474240A2" w14:textId="584FC7EB" w:rsidR="00DC60FC" w:rsidRDefault="00DC60FC" w:rsidP="00DC60FC">
      <w:pPr>
        <w:pStyle w:val="ListParagraph"/>
        <w:spacing w:after="0" w:line="288" w:lineRule="auto"/>
        <w:rPr>
          <w:rFonts w:ascii="Georgia" w:hAnsi="Georgia"/>
          <w:color w:val="002060"/>
          <w:sz w:val="24"/>
          <w:szCs w:val="24"/>
        </w:rPr>
      </w:pPr>
    </w:p>
    <w:p w14:paraId="07B561D5" w14:textId="22081CC9" w:rsidR="00DC60FC" w:rsidRPr="00C41F8B" w:rsidRDefault="00E51D1A" w:rsidP="00DC60FC">
      <w:pPr>
        <w:pStyle w:val="ListParagraph"/>
        <w:numPr>
          <w:ilvl w:val="0"/>
          <w:numId w:val="14"/>
        </w:numPr>
        <w:spacing w:after="0" w:line="288" w:lineRule="auto"/>
        <w:jc w:val="both"/>
        <w:rPr>
          <w:rFonts w:ascii="Georgia" w:hAnsi="Georgia"/>
          <w:b/>
          <w:color w:val="002060"/>
          <w:sz w:val="24"/>
          <w:szCs w:val="24"/>
        </w:rPr>
      </w:pPr>
      <w:r>
        <w:rPr>
          <w:rFonts w:ascii="Georgia" w:eastAsia="Times New Roman" w:hAnsi="Georgia"/>
          <w:b/>
          <w:color w:val="002060"/>
          <w:sz w:val="24"/>
          <w:szCs w:val="24"/>
        </w:rPr>
        <w:t xml:space="preserve"> </w:t>
      </w:r>
      <w:r w:rsidR="00DC60FC" w:rsidRPr="00DC60FC">
        <w:rPr>
          <w:rFonts w:ascii="Georgia" w:eastAsia="Times New Roman" w:hAnsi="Georgia"/>
          <w:b/>
          <w:color w:val="002060"/>
          <w:sz w:val="24"/>
          <w:szCs w:val="24"/>
        </w:rPr>
        <w:t>Appeal against National Party registration decision</w:t>
      </w:r>
    </w:p>
    <w:p w14:paraId="68A8D1D7" w14:textId="77777777" w:rsidR="00C41F8B" w:rsidRPr="00C41F8B" w:rsidRDefault="00C41F8B" w:rsidP="00C41F8B">
      <w:pPr>
        <w:pStyle w:val="ListParagraph"/>
        <w:spacing w:after="0" w:line="288" w:lineRule="auto"/>
        <w:jc w:val="both"/>
        <w:rPr>
          <w:rFonts w:ascii="Georgia" w:hAnsi="Georgia"/>
          <w:b/>
          <w:color w:val="002060"/>
          <w:sz w:val="24"/>
          <w:szCs w:val="24"/>
        </w:rPr>
      </w:pPr>
    </w:p>
    <w:p w14:paraId="7FBB4005" w14:textId="094DB464" w:rsidR="00C41F8B" w:rsidRPr="00C41F8B" w:rsidRDefault="00C41F8B" w:rsidP="00C41F8B">
      <w:pPr>
        <w:pStyle w:val="s8"/>
        <w:spacing w:before="0" w:beforeAutospacing="0" w:after="0" w:afterAutospacing="0"/>
        <w:rPr>
          <w:rFonts w:ascii="Georgia" w:hAnsi="Georgia"/>
          <w:b/>
          <w:color w:val="002060"/>
        </w:rPr>
      </w:pPr>
      <w:r w:rsidRPr="00696994">
        <w:rPr>
          <w:rStyle w:val="s11"/>
          <w:rFonts w:ascii="Georgia" w:hAnsi="Georgia"/>
          <w:color w:val="002060"/>
        </w:rPr>
        <w:t xml:space="preserve">Commission members </w:t>
      </w:r>
      <w:r w:rsidR="0075044A">
        <w:rPr>
          <w:rStyle w:val="s11"/>
          <w:rFonts w:ascii="Georgia" w:hAnsi="Georgia"/>
          <w:color w:val="002060"/>
        </w:rPr>
        <w:t>considered an</w:t>
      </w:r>
      <w:r>
        <w:rPr>
          <w:rStyle w:val="s11"/>
          <w:rFonts w:ascii="Georgia" w:hAnsi="Georgia"/>
          <w:color w:val="002060"/>
        </w:rPr>
        <w:t xml:space="preserve"> appeal </w:t>
      </w:r>
      <w:r w:rsidR="0075044A">
        <w:rPr>
          <w:rStyle w:val="s11"/>
          <w:rFonts w:ascii="Georgia" w:hAnsi="Georgia"/>
          <w:color w:val="002060"/>
        </w:rPr>
        <w:t>received on 30</w:t>
      </w:r>
      <w:r w:rsidR="0075044A" w:rsidRPr="0075044A">
        <w:rPr>
          <w:rStyle w:val="s11"/>
          <w:rFonts w:ascii="Georgia" w:hAnsi="Georgia"/>
          <w:color w:val="002060"/>
          <w:vertAlign w:val="superscript"/>
        </w:rPr>
        <w:t>th</w:t>
      </w:r>
      <w:r w:rsidR="0075044A">
        <w:rPr>
          <w:rStyle w:val="s11"/>
          <w:rFonts w:ascii="Georgia" w:hAnsi="Georgia"/>
          <w:color w:val="002060"/>
        </w:rPr>
        <w:t xml:space="preserve"> April 2024 </w:t>
      </w:r>
      <w:r>
        <w:rPr>
          <w:rStyle w:val="s11"/>
          <w:rFonts w:ascii="Georgia" w:hAnsi="Georgia"/>
          <w:color w:val="002060"/>
        </w:rPr>
        <w:t xml:space="preserve">against the National Party registration decision. This matter will be further considered </w:t>
      </w:r>
      <w:r w:rsidR="0075044A">
        <w:rPr>
          <w:rStyle w:val="s11"/>
          <w:rFonts w:ascii="Georgia" w:hAnsi="Georgia"/>
          <w:color w:val="002060"/>
        </w:rPr>
        <w:t xml:space="preserve">by the Commission </w:t>
      </w:r>
      <w:r>
        <w:rPr>
          <w:rStyle w:val="s11"/>
          <w:rFonts w:ascii="Georgia" w:hAnsi="Georgia"/>
          <w:color w:val="002060"/>
        </w:rPr>
        <w:t xml:space="preserve">in the coming weeks. </w:t>
      </w:r>
    </w:p>
    <w:p w14:paraId="262251AA" w14:textId="39797449" w:rsidR="00DC60FC" w:rsidRPr="00DC60FC" w:rsidRDefault="00DC60FC" w:rsidP="00DC60FC">
      <w:pPr>
        <w:spacing w:after="0" w:line="288" w:lineRule="auto"/>
        <w:rPr>
          <w:rFonts w:ascii="Georgia" w:hAnsi="Georgia" w:cs="Arial"/>
          <w:b/>
          <w:color w:val="002060"/>
          <w:sz w:val="24"/>
          <w:szCs w:val="24"/>
          <w:shd w:val="clear" w:color="auto" w:fill="FFFFFF"/>
        </w:rPr>
      </w:pPr>
      <w:r>
        <w:rPr>
          <w:rFonts w:ascii="Georgia" w:hAnsi="Georgia" w:cs="Arial"/>
          <w:b/>
          <w:color w:val="002060"/>
          <w:sz w:val="24"/>
          <w:szCs w:val="24"/>
          <w:shd w:val="clear" w:color="auto" w:fill="FFFFFF"/>
        </w:rPr>
        <w:t xml:space="preserve"> </w:t>
      </w:r>
    </w:p>
    <w:p w14:paraId="609C3514" w14:textId="68A0132B" w:rsidR="001A7CEE" w:rsidRDefault="001A7CEE" w:rsidP="004B22A0">
      <w:pPr>
        <w:pStyle w:val="ListParagraph"/>
        <w:spacing w:after="0" w:line="288" w:lineRule="auto"/>
        <w:ind w:left="0"/>
        <w:rPr>
          <w:rFonts w:ascii="Georgia" w:hAnsi="Georgia"/>
          <w:b/>
          <w:color w:val="002060"/>
          <w:sz w:val="24"/>
          <w:szCs w:val="24"/>
        </w:rPr>
      </w:pPr>
    </w:p>
    <w:p w14:paraId="283ECFA9" w14:textId="27817BA1" w:rsidR="002D64CF" w:rsidRDefault="00C41F8B" w:rsidP="00F12CB7">
      <w:pPr>
        <w:spacing w:after="0" w:line="288" w:lineRule="auto"/>
        <w:rPr>
          <w:rFonts w:ascii="Georgia" w:hAnsi="Georgia"/>
          <w:b/>
          <w:color w:val="002060"/>
          <w:sz w:val="24"/>
          <w:szCs w:val="24"/>
        </w:rPr>
      </w:pPr>
      <w:r w:rsidRPr="00A82008">
        <w:rPr>
          <w:rFonts w:ascii="Georgia" w:hAnsi="Georgia"/>
          <w:b/>
          <w:color w:val="002060"/>
          <w:sz w:val="24"/>
          <w:szCs w:val="24"/>
        </w:rPr>
        <w:t xml:space="preserve">Date of next meeting – </w:t>
      </w:r>
      <w:r w:rsidR="00E51D1A">
        <w:rPr>
          <w:rFonts w:ascii="Georgia" w:hAnsi="Georgia"/>
          <w:b/>
          <w:color w:val="002060"/>
          <w:sz w:val="24"/>
          <w:szCs w:val="24"/>
        </w:rPr>
        <w:t>12</w:t>
      </w:r>
      <w:r w:rsidR="00E51D1A" w:rsidRPr="00E51D1A">
        <w:rPr>
          <w:rFonts w:ascii="Georgia" w:hAnsi="Georgia"/>
          <w:b/>
          <w:color w:val="002060"/>
          <w:sz w:val="24"/>
          <w:szCs w:val="24"/>
          <w:vertAlign w:val="superscript"/>
        </w:rPr>
        <w:t>th</w:t>
      </w:r>
      <w:r w:rsidR="00E51D1A">
        <w:rPr>
          <w:rFonts w:ascii="Georgia" w:hAnsi="Georgia"/>
          <w:b/>
          <w:color w:val="002060"/>
          <w:sz w:val="24"/>
          <w:szCs w:val="24"/>
        </w:rPr>
        <w:t xml:space="preserve"> September 2024</w:t>
      </w:r>
    </w:p>
    <w:p w14:paraId="3B6F1C61" w14:textId="7A76D509" w:rsidR="0075044A" w:rsidRDefault="0075044A" w:rsidP="004B22A0">
      <w:pPr>
        <w:pStyle w:val="ListParagraph"/>
        <w:spacing w:after="0" w:line="288" w:lineRule="auto"/>
        <w:ind w:left="0"/>
        <w:rPr>
          <w:rFonts w:ascii="Georgia" w:hAnsi="Georgia"/>
          <w:b/>
          <w:color w:val="002060"/>
          <w:sz w:val="24"/>
          <w:szCs w:val="24"/>
        </w:rPr>
      </w:pPr>
    </w:p>
    <w:p w14:paraId="3BD7A1AC" w14:textId="112DA763" w:rsidR="00B929E7" w:rsidRDefault="00B929E7" w:rsidP="004B22A0">
      <w:pPr>
        <w:pStyle w:val="ListParagraph"/>
        <w:spacing w:after="0" w:line="288" w:lineRule="auto"/>
        <w:ind w:left="0"/>
        <w:rPr>
          <w:rFonts w:ascii="Georgia" w:hAnsi="Georgia"/>
          <w:b/>
          <w:color w:val="002060"/>
          <w:sz w:val="24"/>
          <w:szCs w:val="24"/>
        </w:rPr>
      </w:pPr>
    </w:p>
    <w:p w14:paraId="1F7B33B2" w14:textId="77777777" w:rsidR="00B929E7" w:rsidRPr="00C94602" w:rsidRDefault="00B929E7" w:rsidP="004B22A0">
      <w:pPr>
        <w:pStyle w:val="ListParagraph"/>
        <w:spacing w:after="0" w:line="288" w:lineRule="auto"/>
        <w:ind w:left="0"/>
        <w:rPr>
          <w:rFonts w:ascii="Georgia" w:hAnsi="Georgia"/>
          <w:b/>
          <w:color w:val="002060"/>
          <w:sz w:val="24"/>
          <w:szCs w:val="24"/>
        </w:rPr>
      </w:pPr>
    </w:p>
    <w:p w14:paraId="4566D344" w14:textId="671BF563" w:rsidR="00A5262F" w:rsidRPr="00C94602" w:rsidRDefault="0027427E" w:rsidP="004B22A0">
      <w:pPr>
        <w:spacing w:after="0" w:line="288" w:lineRule="auto"/>
        <w:rPr>
          <w:rFonts w:ascii="Georgia" w:hAnsi="Georgia"/>
          <w:b/>
          <w:color w:val="002060"/>
          <w:sz w:val="24"/>
          <w:szCs w:val="24"/>
        </w:rPr>
      </w:pPr>
      <w:r>
        <w:rPr>
          <w:rFonts w:ascii="Georgia" w:hAnsi="Georgia"/>
          <w:b/>
          <w:color w:val="002060"/>
          <w:sz w:val="24"/>
          <w:szCs w:val="24"/>
        </w:rPr>
        <w:t>_________________</w:t>
      </w:r>
    </w:p>
    <w:p w14:paraId="7E2C3403" w14:textId="791E88D3" w:rsidR="007F032B" w:rsidRPr="00C94602" w:rsidRDefault="007F032B" w:rsidP="004B22A0">
      <w:pPr>
        <w:spacing w:after="0" w:line="288" w:lineRule="auto"/>
        <w:rPr>
          <w:rFonts w:ascii="Georgia" w:hAnsi="Georgia"/>
          <w:color w:val="002060"/>
          <w:sz w:val="24"/>
          <w:szCs w:val="24"/>
        </w:rPr>
      </w:pPr>
      <w:r w:rsidRPr="00C94602">
        <w:rPr>
          <w:rFonts w:ascii="Georgia" w:hAnsi="Georgia"/>
          <w:color w:val="002060"/>
          <w:sz w:val="24"/>
          <w:szCs w:val="24"/>
        </w:rPr>
        <w:t>Ms. Justice Marie Baker</w:t>
      </w:r>
      <w:r w:rsidR="00E76C53">
        <w:rPr>
          <w:rFonts w:ascii="Georgia" w:hAnsi="Georgia"/>
          <w:color w:val="002060"/>
          <w:sz w:val="24"/>
          <w:szCs w:val="24"/>
        </w:rPr>
        <w:t xml:space="preserve"> (signed)</w:t>
      </w:r>
      <w:bookmarkStart w:id="0" w:name="_GoBack"/>
      <w:bookmarkEnd w:id="0"/>
    </w:p>
    <w:p w14:paraId="5AB83AC6" w14:textId="0EA77A39" w:rsidR="002459BA" w:rsidRPr="00C94602" w:rsidRDefault="00504CE2" w:rsidP="004B22A0">
      <w:pPr>
        <w:spacing w:after="0" w:line="288" w:lineRule="auto"/>
        <w:rPr>
          <w:rFonts w:ascii="Georgia" w:hAnsi="Georgia"/>
          <w:color w:val="002060"/>
          <w:sz w:val="24"/>
          <w:szCs w:val="24"/>
        </w:rPr>
      </w:pPr>
      <w:r w:rsidRPr="00C94602">
        <w:rPr>
          <w:rFonts w:ascii="Georgia" w:hAnsi="Georgia"/>
          <w:color w:val="002060"/>
          <w:sz w:val="24"/>
          <w:szCs w:val="24"/>
        </w:rPr>
        <w:t>Chairperson</w:t>
      </w:r>
    </w:p>
    <w:sectPr w:rsidR="002459BA" w:rsidRPr="00C94602" w:rsidSect="0020348A">
      <w:headerReference w:type="default" r:id="rId9"/>
      <w:footerReference w:type="default" r:id="rId10"/>
      <w:pgSz w:w="11906" w:h="16838"/>
      <w:pgMar w:top="102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7EBAD" w14:textId="77777777" w:rsidR="005375F3" w:rsidRDefault="005375F3" w:rsidP="003D0191">
      <w:pPr>
        <w:spacing w:after="0" w:line="240" w:lineRule="auto"/>
      </w:pPr>
      <w:r>
        <w:separator/>
      </w:r>
    </w:p>
  </w:endnote>
  <w:endnote w:type="continuationSeparator" w:id="0">
    <w:p w14:paraId="28AA210F" w14:textId="77777777" w:rsidR="005375F3" w:rsidRDefault="005375F3" w:rsidP="003D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Light">
    <w:altName w:val="Proxima Nova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80757"/>
      <w:docPartObj>
        <w:docPartGallery w:val="Page Numbers (Bottom of Page)"/>
        <w:docPartUnique/>
      </w:docPartObj>
    </w:sdtPr>
    <w:sdtEndPr>
      <w:rPr>
        <w:noProof/>
      </w:rPr>
    </w:sdtEndPr>
    <w:sdtContent>
      <w:p w14:paraId="286BCE93" w14:textId="6E8476F0" w:rsidR="003D0191" w:rsidRDefault="00055F27" w:rsidP="00D41D6A">
        <w:pPr>
          <w:pStyle w:val="Footer"/>
          <w:jc w:val="right"/>
        </w:pPr>
        <w:r>
          <w:fldChar w:fldCharType="begin"/>
        </w:r>
        <w:r>
          <w:instrText xml:space="preserve"> PAGE   \* MERGEFORMAT </w:instrText>
        </w:r>
        <w:r>
          <w:fldChar w:fldCharType="separate"/>
        </w:r>
        <w:r w:rsidR="00E76C5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DEC97" w14:textId="77777777" w:rsidR="005375F3" w:rsidRDefault="005375F3" w:rsidP="003D0191">
      <w:pPr>
        <w:spacing w:after="0" w:line="240" w:lineRule="auto"/>
      </w:pPr>
      <w:r>
        <w:separator/>
      </w:r>
    </w:p>
  </w:footnote>
  <w:footnote w:type="continuationSeparator" w:id="0">
    <w:p w14:paraId="36A01306" w14:textId="77777777" w:rsidR="005375F3" w:rsidRDefault="005375F3" w:rsidP="003D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78A7" w14:textId="648269AA" w:rsidR="0040757F" w:rsidRDefault="0040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436"/>
    <w:multiLevelType w:val="hybridMultilevel"/>
    <w:tmpl w:val="74DEE5F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B8C2B16"/>
    <w:multiLevelType w:val="multilevel"/>
    <w:tmpl w:val="604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F24"/>
    <w:multiLevelType w:val="hybridMultilevel"/>
    <w:tmpl w:val="FD2C4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0B4DFE"/>
    <w:multiLevelType w:val="hybridMultilevel"/>
    <w:tmpl w:val="97F069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F4A3883"/>
    <w:multiLevelType w:val="hybridMultilevel"/>
    <w:tmpl w:val="474C97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6D0340"/>
    <w:multiLevelType w:val="hybridMultilevel"/>
    <w:tmpl w:val="DF6278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6D71EB"/>
    <w:multiLevelType w:val="hybridMultilevel"/>
    <w:tmpl w:val="54A846A2"/>
    <w:lvl w:ilvl="0" w:tplc="9B0479FC">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3A399A"/>
    <w:multiLevelType w:val="hybridMultilevel"/>
    <w:tmpl w:val="2B7E08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D141B3"/>
    <w:multiLevelType w:val="hybridMultilevel"/>
    <w:tmpl w:val="56626962"/>
    <w:lvl w:ilvl="0" w:tplc="B9B609B8">
      <w:start w:val="7"/>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254EA1"/>
    <w:multiLevelType w:val="hybridMultilevel"/>
    <w:tmpl w:val="474C97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BC924CA"/>
    <w:multiLevelType w:val="hybridMultilevel"/>
    <w:tmpl w:val="144E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396BEA"/>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3570C2"/>
    <w:multiLevelType w:val="hybridMultilevel"/>
    <w:tmpl w:val="396419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E467A0"/>
    <w:multiLevelType w:val="hybridMultilevel"/>
    <w:tmpl w:val="608078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B1E6276"/>
    <w:multiLevelType w:val="hybridMultilevel"/>
    <w:tmpl w:val="33B2B3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C9B7D09"/>
    <w:multiLevelType w:val="hybridMultilevel"/>
    <w:tmpl w:val="72DCC03E"/>
    <w:lvl w:ilvl="0" w:tplc="75E8CDA2">
      <w:start w:val="2"/>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3B6CF2"/>
    <w:multiLevelType w:val="hybridMultilevel"/>
    <w:tmpl w:val="25A2F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DD570A3"/>
    <w:multiLevelType w:val="hybridMultilevel"/>
    <w:tmpl w:val="E9A29558"/>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B61021"/>
    <w:multiLevelType w:val="hybridMultilevel"/>
    <w:tmpl w:val="DDFCA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C45268"/>
    <w:multiLevelType w:val="hybridMultilevel"/>
    <w:tmpl w:val="F2205B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3354693"/>
    <w:multiLevelType w:val="multilevel"/>
    <w:tmpl w:val="5A1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13C94"/>
    <w:multiLevelType w:val="hybridMultilevel"/>
    <w:tmpl w:val="3BB4BD48"/>
    <w:lvl w:ilvl="0" w:tplc="8138D4E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5C33C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39463D"/>
    <w:multiLevelType w:val="hybridMultilevel"/>
    <w:tmpl w:val="915AA8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3DA81462"/>
    <w:multiLevelType w:val="hybridMultilevel"/>
    <w:tmpl w:val="3BF6B0C4"/>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3C7757"/>
    <w:multiLevelType w:val="hybridMultilevel"/>
    <w:tmpl w:val="C076FDAA"/>
    <w:lvl w:ilvl="0" w:tplc="1809000B">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4A542B2"/>
    <w:multiLevelType w:val="hybridMultilevel"/>
    <w:tmpl w:val="65BAF648"/>
    <w:lvl w:ilvl="0" w:tplc="01964DFE">
      <w:start w:val="10"/>
      <w:numFmt w:val="bullet"/>
      <w:lvlText w:val=""/>
      <w:lvlJc w:val="left"/>
      <w:pPr>
        <w:ind w:left="1080" w:hanging="360"/>
      </w:pPr>
      <w:rPr>
        <w:rFonts w:ascii="Symbol" w:eastAsia="Times New Roman" w:hAnsi="Symbol"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47C80FFC"/>
    <w:multiLevelType w:val="hybridMultilevel"/>
    <w:tmpl w:val="DD327A16"/>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A1B3151"/>
    <w:multiLevelType w:val="hybridMultilevel"/>
    <w:tmpl w:val="099C262A"/>
    <w:lvl w:ilvl="0" w:tplc="8AE2A43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6A64F8"/>
    <w:multiLevelType w:val="hybridMultilevel"/>
    <w:tmpl w:val="B96626DA"/>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6A0B0F"/>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B3A194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1D031ED"/>
    <w:multiLevelType w:val="hybridMultilevel"/>
    <w:tmpl w:val="8A58C6B8"/>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3" w15:restartNumberingAfterBreak="0">
    <w:nsid w:val="708869BE"/>
    <w:multiLevelType w:val="hybridMultilevel"/>
    <w:tmpl w:val="B412988E"/>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8604B5"/>
    <w:multiLevelType w:val="hybridMultilevel"/>
    <w:tmpl w:val="FD2C4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2157105"/>
    <w:multiLevelType w:val="hybridMultilevel"/>
    <w:tmpl w:val="D05CD5DE"/>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0"/>
  </w:num>
  <w:num w:numId="3">
    <w:abstractNumId w:val="29"/>
  </w:num>
  <w:num w:numId="4">
    <w:abstractNumId w:val="24"/>
  </w:num>
  <w:num w:numId="5">
    <w:abstractNumId w:val="33"/>
  </w:num>
  <w:num w:numId="6">
    <w:abstractNumId w:val="27"/>
  </w:num>
  <w:num w:numId="7">
    <w:abstractNumId w:val="17"/>
  </w:num>
  <w:num w:numId="8">
    <w:abstractNumId w:val="3"/>
  </w:num>
  <w:num w:numId="9">
    <w:abstractNumId w:val="31"/>
  </w:num>
  <w:num w:numId="10">
    <w:abstractNumId w:val="15"/>
  </w:num>
  <w:num w:numId="11">
    <w:abstractNumId w:val="16"/>
  </w:num>
  <w:num w:numId="12">
    <w:abstractNumId w:val="22"/>
  </w:num>
  <w:num w:numId="13">
    <w:abstractNumId w:val="7"/>
  </w:num>
  <w:num w:numId="14">
    <w:abstractNumId w:val="9"/>
  </w:num>
  <w:num w:numId="15">
    <w:abstractNumId w:val="18"/>
  </w:num>
  <w:num w:numId="16">
    <w:abstractNumId w:val="10"/>
  </w:num>
  <w:num w:numId="17">
    <w:abstractNumId w:val="11"/>
  </w:num>
  <w:num w:numId="18">
    <w:abstractNumId w:val="6"/>
  </w:num>
  <w:num w:numId="19">
    <w:abstractNumId w:val="21"/>
  </w:num>
  <w:num w:numId="20">
    <w:abstractNumId w:val="30"/>
  </w:num>
  <w:num w:numId="21">
    <w:abstractNumId w:val="26"/>
  </w:num>
  <w:num w:numId="22">
    <w:abstractNumId w:val="34"/>
  </w:num>
  <w:num w:numId="23">
    <w:abstractNumId w:val="2"/>
  </w:num>
  <w:num w:numId="24">
    <w:abstractNumId w:val="13"/>
  </w:num>
  <w:num w:numId="25">
    <w:abstractNumId w:val="19"/>
  </w:num>
  <w:num w:numId="26">
    <w:abstractNumId w:val="14"/>
  </w:num>
  <w:num w:numId="27">
    <w:abstractNumId w:val="1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3"/>
  </w:num>
  <w:num w:numId="32">
    <w:abstractNumId w:val="5"/>
  </w:num>
  <w:num w:numId="33">
    <w:abstractNumId w:val="25"/>
  </w:num>
  <w:num w:numId="34">
    <w:abstractNumId w:val="32"/>
  </w:num>
  <w:num w:numId="35">
    <w:abstractNumId w:val="8"/>
  </w:num>
  <w:num w:numId="36">
    <w:abstractNumId w:val="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60"/>
    <w:rsid w:val="00003C0B"/>
    <w:rsid w:val="0000518B"/>
    <w:rsid w:val="00007A6E"/>
    <w:rsid w:val="00011EB8"/>
    <w:rsid w:val="00015A98"/>
    <w:rsid w:val="00023DD9"/>
    <w:rsid w:val="00030AAF"/>
    <w:rsid w:val="000349B6"/>
    <w:rsid w:val="00055F27"/>
    <w:rsid w:val="0006233B"/>
    <w:rsid w:val="0006329F"/>
    <w:rsid w:val="0008386F"/>
    <w:rsid w:val="00084B36"/>
    <w:rsid w:val="00087E27"/>
    <w:rsid w:val="00097499"/>
    <w:rsid w:val="000977ED"/>
    <w:rsid w:val="000A3AFC"/>
    <w:rsid w:val="000A6B0B"/>
    <w:rsid w:val="000B47AA"/>
    <w:rsid w:val="000C186F"/>
    <w:rsid w:val="000D7F7A"/>
    <w:rsid w:val="000F64DF"/>
    <w:rsid w:val="00103868"/>
    <w:rsid w:val="001143B4"/>
    <w:rsid w:val="00120D95"/>
    <w:rsid w:val="00132F40"/>
    <w:rsid w:val="00134C67"/>
    <w:rsid w:val="00136FBB"/>
    <w:rsid w:val="0014448B"/>
    <w:rsid w:val="00145854"/>
    <w:rsid w:val="0015570D"/>
    <w:rsid w:val="001666BA"/>
    <w:rsid w:val="00176907"/>
    <w:rsid w:val="00180F05"/>
    <w:rsid w:val="00182291"/>
    <w:rsid w:val="001945FA"/>
    <w:rsid w:val="001A1A8B"/>
    <w:rsid w:val="001A2A3E"/>
    <w:rsid w:val="001A6C77"/>
    <w:rsid w:val="001A7AE1"/>
    <w:rsid w:val="001A7CEE"/>
    <w:rsid w:val="001B707B"/>
    <w:rsid w:val="001C24E0"/>
    <w:rsid w:val="001C4C9F"/>
    <w:rsid w:val="001E5881"/>
    <w:rsid w:val="002024BE"/>
    <w:rsid w:val="0020348A"/>
    <w:rsid w:val="00205334"/>
    <w:rsid w:val="0020700B"/>
    <w:rsid w:val="0022402B"/>
    <w:rsid w:val="002245EB"/>
    <w:rsid w:val="002278EB"/>
    <w:rsid w:val="00227C42"/>
    <w:rsid w:val="002459BA"/>
    <w:rsid w:val="00247086"/>
    <w:rsid w:val="002528AD"/>
    <w:rsid w:val="00256041"/>
    <w:rsid w:val="00256C35"/>
    <w:rsid w:val="002601ED"/>
    <w:rsid w:val="00262DC5"/>
    <w:rsid w:val="00273971"/>
    <w:rsid w:val="0027427E"/>
    <w:rsid w:val="00274746"/>
    <w:rsid w:val="002927B7"/>
    <w:rsid w:val="002935CE"/>
    <w:rsid w:val="002A1565"/>
    <w:rsid w:val="002A197A"/>
    <w:rsid w:val="002A6CB2"/>
    <w:rsid w:val="002B6DE3"/>
    <w:rsid w:val="002C70BB"/>
    <w:rsid w:val="002D0614"/>
    <w:rsid w:val="002D0842"/>
    <w:rsid w:val="002D324A"/>
    <w:rsid w:val="002D64CF"/>
    <w:rsid w:val="002E0189"/>
    <w:rsid w:val="002F324D"/>
    <w:rsid w:val="002F3FCB"/>
    <w:rsid w:val="002F4400"/>
    <w:rsid w:val="002F78BE"/>
    <w:rsid w:val="00326077"/>
    <w:rsid w:val="00326B8C"/>
    <w:rsid w:val="00330EE6"/>
    <w:rsid w:val="00343AC2"/>
    <w:rsid w:val="003511CF"/>
    <w:rsid w:val="003757D1"/>
    <w:rsid w:val="003A0BDF"/>
    <w:rsid w:val="003B05E4"/>
    <w:rsid w:val="003B0C2D"/>
    <w:rsid w:val="003B3231"/>
    <w:rsid w:val="003D0191"/>
    <w:rsid w:val="003E7B81"/>
    <w:rsid w:val="003F0555"/>
    <w:rsid w:val="003F070A"/>
    <w:rsid w:val="003F2B17"/>
    <w:rsid w:val="0040757F"/>
    <w:rsid w:val="004210E0"/>
    <w:rsid w:val="00437BC9"/>
    <w:rsid w:val="00442C35"/>
    <w:rsid w:val="00443114"/>
    <w:rsid w:val="004528AA"/>
    <w:rsid w:val="0045446C"/>
    <w:rsid w:val="00455813"/>
    <w:rsid w:val="00476E17"/>
    <w:rsid w:val="00482B20"/>
    <w:rsid w:val="00487FBA"/>
    <w:rsid w:val="004B22A0"/>
    <w:rsid w:val="004C06A8"/>
    <w:rsid w:val="004C25BC"/>
    <w:rsid w:val="004D0081"/>
    <w:rsid w:val="004D13F9"/>
    <w:rsid w:val="004E39E3"/>
    <w:rsid w:val="004F29BE"/>
    <w:rsid w:val="004F6B21"/>
    <w:rsid w:val="00501DEE"/>
    <w:rsid w:val="00504CE2"/>
    <w:rsid w:val="005076CF"/>
    <w:rsid w:val="00510EC4"/>
    <w:rsid w:val="00520DDB"/>
    <w:rsid w:val="00531C3F"/>
    <w:rsid w:val="005375F3"/>
    <w:rsid w:val="00537D42"/>
    <w:rsid w:val="005406C7"/>
    <w:rsid w:val="00560782"/>
    <w:rsid w:val="00564DC6"/>
    <w:rsid w:val="00565873"/>
    <w:rsid w:val="00566128"/>
    <w:rsid w:val="00566B60"/>
    <w:rsid w:val="00566CD5"/>
    <w:rsid w:val="005739D4"/>
    <w:rsid w:val="00576EB8"/>
    <w:rsid w:val="005822A7"/>
    <w:rsid w:val="00584E7A"/>
    <w:rsid w:val="00587AA6"/>
    <w:rsid w:val="005A12DA"/>
    <w:rsid w:val="005A2F1F"/>
    <w:rsid w:val="005B174C"/>
    <w:rsid w:val="005B68CA"/>
    <w:rsid w:val="005C61AD"/>
    <w:rsid w:val="005D1A60"/>
    <w:rsid w:val="005D6A2F"/>
    <w:rsid w:val="006065B8"/>
    <w:rsid w:val="006275A1"/>
    <w:rsid w:val="006309D7"/>
    <w:rsid w:val="00634020"/>
    <w:rsid w:val="006649BA"/>
    <w:rsid w:val="00670655"/>
    <w:rsid w:val="00674B45"/>
    <w:rsid w:val="00681566"/>
    <w:rsid w:val="00696994"/>
    <w:rsid w:val="00697B95"/>
    <w:rsid w:val="006B0A1D"/>
    <w:rsid w:val="006B3AB9"/>
    <w:rsid w:val="006B4CB5"/>
    <w:rsid w:val="006B7919"/>
    <w:rsid w:val="006C08B5"/>
    <w:rsid w:val="006C0A42"/>
    <w:rsid w:val="006C24F2"/>
    <w:rsid w:val="006D48E5"/>
    <w:rsid w:val="006E469C"/>
    <w:rsid w:val="006F1C80"/>
    <w:rsid w:val="006F1D47"/>
    <w:rsid w:val="006F2B8F"/>
    <w:rsid w:val="00706BA8"/>
    <w:rsid w:val="00715D4A"/>
    <w:rsid w:val="007251AE"/>
    <w:rsid w:val="0073108B"/>
    <w:rsid w:val="00735999"/>
    <w:rsid w:val="00743474"/>
    <w:rsid w:val="00743CE3"/>
    <w:rsid w:val="0075044A"/>
    <w:rsid w:val="00757F50"/>
    <w:rsid w:val="00760A9F"/>
    <w:rsid w:val="007647A0"/>
    <w:rsid w:val="00765984"/>
    <w:rsid w:val="007721F7"/>
    <w:rsid w:val="00780813"/>
    <w:rsid w:val="00781ADD"/>
    <w:rsid w:val="00784B40"/>
    <w:rsid w:val="0078601C"/>
    <w:rsid w:val="0079232E"/>
    <w:rsid w:val="00793DE5"/>
    <w:rsid w:val="007A27B6"/>
    <w:rsid w:val="007A5120"/>
    <w:rsid w:val="007A5859"/>
    <w:rsid w:val="007B43E1"/>
    <w:rsid w:val="007D43BA"/>
    <w:rsid w:val="007F032B"/>
    <w:rsid w:val="007F2251"/>
    <w:rsid w:val="007F5109"/>
    <w:rsid w:val="007F6EF3"/>
    <w:rsid w:val="00831D74"/>
    <w:rsid w:val="008444DA"/>
    <w:rsid w:val="00853E3C"/>
    <w:rsid w:val="008605D2"/>
    <w:rsid w:val="00862CEB"/>
    <w:rsid w:val="00863725"/>
    <w:rsid w:val="00872C6F"/>
    <w:rsid w:val="00877983"/>
    <w:rsid w:val="008814C1"/>
    <w:rsid w:val="00882A45"/>
    <w:rsid w:val="00893A75"/>
    <w:rsid w:val="008A2916"/>
    <w:rsid w:val="008C0129"/>
    <w:rsid w:val="008C01A2"/>
    <w:rsid w:val="008C48E1"/>
    <w:rsid w:val="008D6BA6"/>
    <w:rsid w:val="008E5D5B"/>
    <w:rsid w:val="008F270D"/>
    <w:rsid w:val="008F3999"/>
    <w:rsid w:val="008F468F"/>
    <w:rsid w:val="008F5C31"/>
    <w:rsid w:val="008F7115"/>
    <w:rsid w:val="009153F8"/>
    <w:rsid w:val="00917E00"/>
    <w:rsid w:val="0092058C"/>
    <w:rsid w:val="009330EE"/>
    <w:rsid w:val="00937766"/>
    <w:rsid w:val="009417F6"/>
    <w:rsid w:val="009479D9"/>
    <w:rsid w:val="009534F2"/>
    <w:rsid w:val="00957792"/>
    <w:rsid w:val="00964C83"/>
    <w:rsid w:val="0097272A"/>
    <w:rsid w:val="00975393"/>
    <w:rsid w:val="009A42F0"/>
    <w:rsid w:val="009A47E2"/>
    <w:rsid w:val="009B08C9"/>
    <w:rsid w:val="009B158A"/>
    <w:rsid w:val="009B421D"/>
    <w:rsid w:val="009C1C5D"/>
    <w:rsid w:val="009C327D"/>
    <w:rsid w:val="009C60D7"/>
    <w:rsid w:val="009D0046"/>
    <w:rsid w:val="009D77EA"/>
    <w:rsid w:val="009E2E58"/>
    <w:rsid w:val="009E6984"/>
    <w:rsid w:val="009F1D34"/>
    <w:rsid w:val="009F5159"/>
    <w:rsid w:val="009F6EC1"/>
    <w:rsid w:val="00A0033C"/>
    <w:rsid w:val="00A11D6C"/>
    <w:rsid w:val="00A12307"/>
    <w:rsid w:val="00A14839"/>
    <w:rsid w:val="00A14E73"/>
    <w:rsid w:val="00A247D8"/>
    <w:rsid w:val="00A40BE2"/>
    <w:rsid w:val="00A439A1"/>
    <w:rsid w:val="00A4554B"/>
    <w:rsid w:val="00A462AA"/>
    <w:rsid w:val="00A5262F"/>
    <w:rsid w:val="00A60DF7"/>
    <w:rsid w:val="00A65403"/>
    <w:rsid w:val="00A74E14"/>
    <w:rsid w:val="00A82008"/>
    <w:rsid w:val="00A82FB5"/>
    <w:rsid w:val="00A84439"/>
    <w:rsid w:val="00AA3CBF"/>
    <w:rsid w:val="00AB627C"/>
    <w:rsid w:val="00AB79F0"/>
    <w:rsid w:val="00AC3DB2"/>
    <w:rsid w:val="00AC537B"/>
    <w:rsid w:val="00AE154E"/>
    <w:rsid w:val="00AE24FD"/>
    <w:rsid w:val="00AF2BFE"/>
    <w:rsid w:val="00B027A2"/>
    <w:rsid w:val="00B23F8A"/>
    <w:rsid w:val="00B4348C"/>
    <w:rsid w:val="00B463AB"/>
    <w:rsid w:val="00B471C2"/>
    <w:rsid w:val="00B477BD"/>
    <w:rsid w:val="00B62C27"/>
    <w:rsid w:val="00B735DD"/>
    <w:rsid w:val="00B929E7"/>
    <w:rsid w:val="00BA0A0C"/>
    <w:rsid w:val="00BA0BB0"/>
    <w:rsid w:val="00BB2060"/>
    <w:rsid w:val="00BB37DE"/>
    <w:rsid w:val="00BB4A98"/>
    <w:rsid w:val="00BC1156"/>
    <w:rsid w:val="00BC4908"/>
    <w:rsid w:val="00BD4DE4"/>
    <w:rsid w:val="00BD56C6"/>
    <w:rsid w:val="00BE289B"/>
    <w:rsid w:val="00BF590C"/>
    <w:rsid w:val="00BF5A28"/>
    <w:rsid w:val="00C05360"/>
    <w:rsid w:val="00C1041D"/>
    <w:rsid w:val="00C25E48"/>
    <w:rsid w:val="00C416C2"/>
    <w:rsid w:val="00C41F8B"/>
    <w:rsid w:val="00C54B42"/>
    <w:rsid w:val="00C570B9"/>
    <w:rsid w:val="00C71EFC"/>
    <w:rsid w:val="00C73488"/>
    <w:rsid w:val="00C9157A"/>
    <w:rsid w:val="00C94602"/>
    <w:rsid w:val="00C9594E"/>
    <w:rsid w:val="00CA1351"/>
    <w:rsid w:val="00CA4BF3"/>
    <w:rsid w:val="00CB7798"/>
    <w:rsid w:val="00CC03D3"/>
    <w:rsid w:val="00CC18F4"/>
    <w:rsid w:val="00CC408F"/>
    <w:rsid w:val="00CE0E53"/>
    <w:rsid w:val="00CE560C"/>
    <w:rsid w:val="00CE6284"/>
    <w:rsid w:val="00CF23F8"/>
    <w:rsid w:val="00CF5EC1"/>
    <w:rsid w:val="00CF6291"/>
    <w:rsid w:val="00D115A4"/>
    <w:rsid w:val="00D12210"/>
    <w:rsid w:val="00D155BF"/>
    <w:rsid w:val="00D24E5D"/>
    <w:rsid w:val="00D272DF"/>
    <w:rsid w:val="00D30DA1"/>
    <w:rsid w:val="00D4025B"/>
    <w:rsid w:val="00D41D6A"/>
    <w:rsid w:val="00D41FC5"/>
    <w:rsid w:val="00D52F15"/>
    <w:rsid w:val="00D574C9"/>
    <w:rsid w:val="00D636E4"/>
    <w:rsid w:val="00D64AD9"/>
    <w:rsid w:val="00D74F0A"/>
    <w:rsid w:val="00D769D2"/>
    <w:rsid w:val="00D82084"/>
    <w:rsid w:val="00D8378D"/>
    <w:rsid w:val="00D84FB9"/>
    <w:rsid w:val="00D91365"/>
    <w:rsid w:val="00D97097"/>
    <w:rsid w:val="00DA0B40"/>
    <w:rsid w:val="00DA4611"/>
    <w:rsid w:val="00DB23BC"/>
    <w:rsid w:val="00DC118A"/>
    <w:rsid w:val="00DC1C19"/>
    <w:rsid w:val="00DC60FC"/>
    <w:rsid w:val="00DC7470"/>
    <w:rsid w:val="00DD4D70"/>
    <w:rsid w:val="00DE0DFE"/>
    <w:rsid w:val="00DE2C93"/>
    <w:rsid w:val="00DE3B55"/>
    <w:rsid w:val="00DF0928"/>
    <w:rsid w:val="00DF5497"/>
    <w:rsid w:val="00DF5B97"/>
    <w:rsid w:val="00DF5C65"/>
    <w:rsid w:val="00E0042A"/>
    <w:rsid w:val="00E30E91"/>
    <w:rsid w:val="00E318D3"/>
    <w:rsid w:val="00E51335"/>
    <w:rsid w:val="00E51D1A"/>
    <w:rsid w:val="00E56384"/>
    <w:rsid w:val="00E60D1A"/>
    <w:rsid w:val="00E65ACF"/>
    <w:rsid w:val="00E70549"/>
    <w:rsid w:val="00E7331C"/>
    <w:rsid w:val="00E76C53"/>
    <w:rsid w:val="00E76DC1"/>
    <w:rsid w:val="00E833B6"/>
    <w:rsid w:val="00E857E6"/>
    <w:rsid w:val="00E92011"/>
    <w:rsid w:val="00E94EFE"/>
    <w:rsid w:val="00E97435"/>
    <w:rsid w:val="00EA2D16"/>
    <w:rsid w:val="00EA2D92"/>
    <w:rsid w:val="00EB2081"/>
    <w:rsid w:val="00EC29FE"/>
    <w:rsid w:val="00EC57A3"/>
    <w:rsid w:val="00ED27C5"/>
    <w:rsid w:val="00ED45BF"/>
    <w:rsid w:val="00EE090D"/>
    <w:rsid w:val="00EE094F"/>
    <w:rsid w:val="00EE5FF3"/>
    <w:rsid w:val="00EF6D27"/>
    <w:rsid w:val="00F06888"/>
    <w:rsid w:val="00F12CB7"/>
    <w:rsid w:val="00F218BE"/>
    <w:rsid w:val="00F218C0"/>
    <w:rsid w:val="00F21A0B"/>
    <w:rsid w:val="00F272DB"/>
    <w:rsid w:val="00F31092"/>
    <w:rsid w:val="00F31F0A"/>
    <w:rsid w:val="00F3222B"/>
    <w:rsid w:val="00F349F9"/>
    <w:rsid w:val="00F354E8"/>
    <w:rsid w:val="00F36781"/>
    <w:rsid w:val="00F42B98"/>
    <w:rsid w:val="00F52117"/>
    <w:rsid w:val="00F533CC"/>
    <w:rsid w:val="00F61248"/>
    <w:rsid w:val="00F86873"/>
    <w:rsid w:val="00F965C1"/>
    <w:rsid w:val="00F9767C"/>
    <w:rsid w:val="00FA16C0"/>
    <w:rsid w:val="00FA1D4F"/>
    <w:rsid w:val="00FA6484"/>
    <w:rsid w:val="00FC0E6E"/>
    <w:rsid w:val="00FC718C"/>
    <w:rsid w:val="00FE5090"/>
    <w:rsid w:val="00FE5244"/>
    <w:rsid w:val="00FF5E19"/>
    <w:rsid w:val="00FF79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BD5831"/>
  <w15:chartTrackingRefBased/>
  <w15:docId w15:val="{15C8EB39-17C9-4E53-9C8E-53529A1E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A6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D0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191"/>
  </w:style>
  <w:style w:type="paragraph" w:styleId="Footer">
    <w:name w:val="footer"/>
    <w:basedOn w:val="Normal"/>
    <w:link w:val="FooterChar"/>
    <w:uiPriority w:val="99"/>
    <w:unhideWhenUsed/>
    <w:rsid w:val="003D0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91"/>
  </w:style>
  <w:style w:type="paragraph" w:styleId="ListParagraph">
    <w:name w:val="List Paragraph"/>
    <w:basedOn w:val="Normal"/>
    <w:uiPriority w:val="34"/>
    <w:qFormat/>
    <w:rsid w:val="002A6CB2"/>
    <w:pPr>
      <w:ind w:left="720"/>
      <w:contextualSpacing/>
    </w:pPr>
  </w:style>
  <w:style w:type="character" w:styleId="CommentReference">
    <w:name w:val="annotation reference"/>
    <w:basedOn w:val="DefaultParagraphFont"/>
    <w:uiPriority w:val="99"/>
    <w:semiHidden/>
    <w:unhideWhenUsed/>
    <w:rsid w:val="002245EB"/>
    <w:rPr>
      <w:sz w:val="16"/>
      <w:szCs w:val="16"/>
    </w:rPr>
  </w:style>
  <w:style w:type="paragraph" w:styleId="CommentText">
    <w:name w:val="annotation text"/>
    <w:basedOn w:val="Normal"/>
    <w:link w:val="CommentTextChar"/>
    <w:uiPriority w:val="99"/>
    <w:semiHidden/>
    <w:unhideWhenUsed/>
    <w:rsid w:val="002245EB"/>
    <w:pPr>
      <w:spacing w:line="240" w:lineRule="auto"/>
    </w:pPr>
    <w:rPr>
      <w:sz w:val="20"/>
      <w:szCs w:val="20"/>
    </w:rPr>
  </w:style>
  <w:style w:type="character" w:customStyle="1" w:styleId="CommentTextChar">
    <w:name w:val="Comment Text Char"/>
    <w:basedOn w:val="DefaultParagraphFont"/>
    <w:link w:val="CommentText"/>
    <w:uiPriority w:val="99"/>
    <w:semiHidden/>
    <w:rsid w:val="002245EB"/>
    <w:rPr>
      <w:sz w:val="20"/>
      <w:szCs w:val="20"/>
    </w:rPr>
  </w:style>
  <w:style w:type="paragraph" w:styleId="CommentSubject">
    <w:name w:val="annotation subject"/>
    <w:basedOn w:val="CommentText"/>
    <w:next w:val="CommentText"/>
    <w:link w:val="CommentSubjectChar"/>
    <w:uiPriority w:val="99"/>
    <w:semiHidden/>
    <w:unhideWhenUsed/>
    <w:rsid w:val="002245EB"/>
    <w:rPr>
      <w:b/>
      <w:bCs/>
    </w:rPr>
  </w:style>
  <w:style w:type="character" w:customStyle="1" w:styleId="CommentSubjectChar">
    <w:name w:val="Comment Subject Char"/>
    <w:basedOn w:val="CommentTextChar"/>
    <w:link w:val="CommentSubject"/>
    <w:uiPriority w:val="99"/>
    <w:semiHidden/>
    <w:rsid w:val="002245EB"/>
    <w:rPr>
      <w:b/>
      <w:bCs/>
      <w:sz w:val="20"/>
      <w:szCs w:val="20"/>
    </w:rPr>
  </w:style>
  <w:style w:type="paragraph" w:styleId="BalloonText">
    <w:name w:val="Balloon Text"/>
    <w:basedOn w:val="Normal"/>
    <w:link w:val="BalloonTextChar"/>
    <w:uiPriority w:val="99"/>
    <w:semiHidden/>
    <w:unhideWhenUsed/>
    <w:rsid w:val="0022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EB"/>
    <w:rPr>
      <w:rFonts w:ascii="Segoe UI" w:hAnsi="Segoe UI" w:cs="Segoe UI"/>
      <w:sz w:val="18"/>
      <w:szCs w:val="18"/>
    </w:rPr>
  </w:style>
  <w:style w:type="table" w:styleId="TableGrid">
    <w:name w:val="Table Grid"/>
    <w:basedOn w:val="TableNormal"/>
    <w:uiPriority w:val="39"/>
    <w:rsid w:val="00FA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474"/>
    <w:pPr>
      <w:spacing w:after="0" w:line="240" w:lineRule="auto"/>
    </w:pPr>
  </w:style>
  <w:style w:type="paragraph" w:customStyle="1" w:styleId="s8">
    <w:name w:val="s8"/>
    <w:basedOn w:val="Normal"/>
    <w:rsid w:val="009534F2"/>
    <w:pPr>
      <w:spacing w:before="100" w:beforeAutospacing="1" w:after="100" w:afterAutospacing="1" w:line="240" w:lineRule="auto"/>
    </w:pPr>
    <w:rPr>
      <w:rFonts w:ascii="Times New Roman" w:hAnsi="Times New Roman" w:cs="Times New Roman"/>
      <w:sz w:val="24"/>
      <w:szCs w:val="24"/>
      <w:lang w:eastAsia="en-IE"/>
    </w:rPr>
  </w:style>
  <w:style w:type="character" w:customStyle="1" w:styleId="s11">
    <w:name w:val="s11"/>
    <w:basedOn w:val="DefaultParagraphFont"/>
    <w:rsid w:val="009534F2"/>
  </w:style>
  <w:style w:type="character" w:customStyle="1" w:styleId="s14">
    <w:name w:val="s14"/>
    <w:basedOn w:val="DefaultParagraphFont"/>
    <w:rsid w:val="009534F2"/>
  </w:style>
  <w:style w:type="character" w:customStyle="1" w:styleId="s16">
    <w:name w:val="s16"/>
    <w:basedOn w:val="DefaultParagraphFont"/>
    <w:rsid w:val="009534F2"/>
  </w:style>
  <w:style w:type="character" w:styleId="Hyperlink">
    <w:name w:val="Hyperlink"/>
    <w:basedOn w:val="DefaultParagraphFont"/>
    <w:uiPriority w:val="99"/>
    <w:semiHidden/>
    <w:unhideWhenUsed/>
    <w:rsid w:val="002F78BE"/>
    <w:rPr>
      <w:color w:val="0000FF"/>
      <w:u w:val="single"/>
    </w:rPr>
  </w:style>
  <w:style w:type="character" w:styleId="Emphasis">
    <w:name w:val="Emphasis"/>
    <w:basedOn w:val="DefaultParagraphFont"/>
    <w:uiPriority w:val="20"/>
    <w:qFormat/>
    <w:rsid w:val="00E7331C"/>
    <w:rPr>
      <w:i/>
      <w:iCs/>
    </w:rPr>
  </w:style>
  <w:style w:type="paragraph" w:customStyle="1" w:styleId="Default">
    <w:name w:val="Default"/>
    <w:rsid w:val="00EE5FF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F5159"/>
    <w:pPr>
      <w:spacing w:after="0" w:line="240" w:lineRule="auto"/>
    </w:pPr>
  </w:style>
  <w:style w:type="character" w:customStyle="1" w:styleId="apple-tab-span">
    <w:name w:val="apple-tab-span"/>
    <w:basedOn w:val="DefaultParagraphFont"/>
    <w:rsid w:val="0022402B"/>
  </w:style>
  <w:style w:type="table" w:customStyle="1" w:styleId="TableGrid1">
    <w:name w:val="Table Grid1"/>
    <w:basedOn w:val="TableNormal"/>
    <w:next w:val="TableGrid"/>
    <w:uiPriority w:val="39"/>
    <w:rsid w:val="00D64AD9"/>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5235">
      <w:bodyDiv w:val="1"/>
      <w:marLeft w:val="0"/>
      <w:marRight w:val="0"/>
      <w:marTop w:val="0"/>
      <w:marBottom w:val="0"/>
      <w:divBdr>
        <w:top w:val="none" w:sz="0" w:space="0" w:color="auto"/>
        <w:left w:val="none" w:sz="0" w:space="0" w:color="auto"/>
        <w:bottom w:val="none" w:sz="0" w:space="0" w:color="auto"/>
        <w:right w:val="none" w:sz="0" w:space="0" w:color="auto"/>
      </w:divBdr>
    </w:div>
    <w:div w:id="166360651">
      <w:bodyDiv w:val="1"/>
      <w:marLeft w:val="0"/>
      <w:marRight w:val="0"/>
      <w:marTop w:val="0"/>
      <w:marBottom w:val="0"/>
      <w:divBdr>
        <w:top w:val="none" w:sz="0" w:space="0" w:color="auto"/>
        <w:left w:val="none" w:sz="0" w:space="0" w:color="auto"/>
        <w:bottom w:val="none" w:sz="0" w:space="0" w:color="auto"/>
        <w:right w:val="none" w:sz="0" w:space="0" w:color="auto"/>
      </w:divBdr>
    </w:div>
    <w:div w:id="187763894">
      <w:bodyDiv w:val="1"/>
      <w:marLeft w:val="0"/>
      <w:marRight w:val="0"/>
      <w:marTop w:val="0"/>
      <w:marBottom w:val="0"/>
      <w:divBdr>
        <w:top w:val="none" w:sz="0" w:space="0" w:color="auto"/>
        <w:left w:val="none" w:sz="0" w:space="0" w:color="auto"/>
        <w:bottom w:val="none" w:sz="0" w:space="0" w:color="auto"/>
        <w:right w:val="none" w:sz="0" w:space="0" w:color="auto"/>
      </w:divBdr>
    </w:div>
    <w:div w:id="440806175">
      <w:bodyDiv w:val="1"/>
      <w:marLeft w:val="0"/>
      <w:marRight w:val="0"/>
      <w:marTop w:val="0"/>
      <w:marBottom w:val="0"/>
      <w:divBdr>
        <w:top w:val="none" w:sz="0" w:space="0" w:color="auto"/>
        <w:left w:val="none" w:sz="0" w:space="0" w:color="auto"/>
        <w:bottom w:val="none" w:sz="0" w:space="0" w:color="auto"/>
        <w:right w:val="none" w:sz="0" w:space="0" w:color="auto"/>
      </w:divBdr>
      <w:divsChild>
        <w:div w:id="1960140088">
          <w:marLeft w:val="0"/>
          <w:marRight w:val="0"/>
          <w:marTop w:val="0"/>
          <w:marBottom w:val="0"/>
          <w:divBdr>
            <w:top w:val="none" w:sz="0" w:space="0" w:color="auto"/>
            <w:left w:val="none" w:sz="0" w:space="0" w:color="auto"/>
            <w:bottom w:val="none" w:sz="0" w:space="0" w:color="auto"/>
            <w:right w:val="none" w:sz="0" w:space="0" w:color="auto"/>
          </w:divBdr>
          <w:divsChild>
            <w:div w:id="1427385957">
              <w:marLeft w:val="-225"/>
              <w:marRight w:val="-225"/>
              <w:marTop w:val="0"/>
              <w:marBottom w:val="0"/>
              <w:divBdr>
                <w:top w:val="none" w:sz="0" w:space="0" w:color="auto"/>
                <w:left w:val="none" w:sz="0" w:space="0" w:color="auto"/>
                <w:bottom w:val="none" w:sz="0" w:space="0" w:color="auto"/>
                <w:right w:val="none" w:sz="0" w:space="0" w:color="auto"/>
              </w:divBdr>
            </w:div>
          </w:divsChild>
        </w:div>
        <w:div w:id="1275207793">
          <w:marLeft w:val="0"/>
          <w:marRight w:val="0"/>
          <w:marTop w:val="0"/>
          <w:marBottom w:val="0"/>
          <w:divBdr>
            <w:top w:val="none" w:sz="0" w:space="0" w:color="auto"/>
            <w:left w:val="none" w:sz="0" w:space="0" w:color="auto"/>
            <w:bottom w:val="none" w:sz="0" w:space="0" w:color="auto"/>
            <w:right w:val="none" w:sz="0" w:space="0" w:color="auto"/>
          </w:divBdr>
          <w:divsChild>
            <w:div w:id="1069812902">
              <w:marLeft w:val="-225"/>
              <w:marRight w:val="-225"/>
              <w:marTop w:val="0"/>
              <w:marBottom w:val="0"/>
              <w:divBdr>
                <w:top w:val="none" w:sz="0" w:space="0" w:color="auto"/>
                <w:left w:val="none" w:sz="0" w:space="0" w:color="auto"/>
                <w:bottom w:val="none" w:sz="0" w:space="0" w:color="auto"/>
                <w:right w:val="none" w:sz="0" w:space="0" w:color="auto"/>
              </w:divBdr>
            </w:div>
          </w:divsChild>
        </w:div>
        <w:div w:id="995960962">
          <w:marLeft w:val="0"/>
          <w:marRight w:val="0"/>
          <w:marTop w:val="0"/>
          <w:marBottom w:val="0"/>
          <w:divBdr>
            <w:top w:val="none" w:sz="0" w:space="0" w:color="auto"/>
            <w:left w:val="none" w:sz="0" w:space="0" w:color="auto"/>
            <w:bottom w:val="none" w:sz="0" w:space="0" w:color="auto"/>
            <w:right w:val="none" w:sz="0" w:space="0" w:color="auto"/>
          </w:divBdr>
          <w:divsChild>
            <w:div w:id="4422673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57755308">
      <w:bodyDiv w:val="1"/>
      <w:marLeft w:val="0"/>
      <w:marRight w:val="0"/>
      <w:marTop w:val="0"/>
      <w:marBottom w:val="0"/>
      <w:divBdr>
        <w:top w:val="none" w:sz="0" w:space="0" w:color="auto"/>
        <w:left w:val="none" w:sz="0" w:space="0" w:color="auto"/>
        <w:bottom w:val="none" w:sz="0" w:space="0" w:color="auto"/>
        <w:right w:val="none" w:sz="0" w:space="0" w:color="auto"/>
      </w:divBdr>
    </w:div>
    <w:div w:id="819154496">
      <w:bodyDiv w:val="1"/>
      <w:marLeft w:val="0"/>
      <w:marRight w:val="0"/>
      <w:marTop w:val="0"/>
      <w:marBottom w:val="0"/>
      <w:divBdr>
        <w:top w:val="none" w:sz="0" w:space="0" w:color="auto"/>
        <w:left w:val="none" w:sz="0" w:space="0" w:color="auto"/>
        <w:bottom w:val="none" w:sz="0" w:space="0" w:color="auto"/>
        <w:right w:val="none" w:sz="0" w:space="0" w:color="auto"/>
      </w:divBdr>
    </w:div>
    <w:div w:id="933325154">
      <w:bodyDiv w:val="1"/>
      <w:marLeft w:val="0"/>
      <w:marRight w:val="0"/>
      <w:marTop w:val="0"/>
      <w:marBottom w:val="0"/>
      <w:divBdr>
        <w:top w:val="none" w:sz="0" w:space="0" w:color="auto"/>
        <w:left w:val="none" w:sz="0" w:space="0" w:color="auto"/>
        <w:bottom w:val="none" w:sz="0" w:space="0" w:color="auto"/>
        <w:right w:val="none" w:sz="0" w:space="0" w:color="auto"/>
      </w:divBdr>
    </w:div>
    <w:div w:id="965888211">
      <w:bodyDiv w:val="1"/>
      <w:marLeft w:val="0"/>
      <w:marRight w:val="0"/>
      <w:marTop w:val="0"/>
      <w:marBottom w:val="0"/>
      <w:divBdr>
        <w:top w:val="none" w:sz="0" w:space="0" w:color="auto"/>
        <w:left w:val="none" w:sz="0" w:space="0" w:color="auto"/>
        <w:bottom w:val="none" w:sz="0" w:space="0" w:color="auto"/>
        <w:right w:val="none" w:sz="0" w:space="0" w:color="auto"/>
      </w:divBdr>
    </w:div>
    <w:div w:id="1058044956">
      <w:bodyDiv w:val="1"/>
      <w:marLeft w:val="0"/>
      <w:marRight w:val="0"/>
      <w:marTop w:val="0"/>
      <w:marBottom w:val="0"/>
      <w:divBdr>
        <w:top w:val="none" w:sz="0" w:space="0" w:color="auto"/>
        <w:left w:val="none" w:sz="0" w:space="0" w:color="auto"/>
        <w:bottom w:val="none" w:sz="0" w:space="0" w:color="auto"/>
        <w:right w:val="none" w:sz="0" w:space="0" w:color="auto"/>
      </w:divBdr>
      <w:divsChild>
        <w:div w:id="1576167954">
          <w:marLeft w:val="0"/>
          <w:marRight w:val="0"/>
          <w:marTop w:val="0"/>
          <w:marBottom w:val="0"/>
          <w:divBdr>
            <w:top w:val="none" w:sz="0" w:space="0" w:color="auto"/>
            <w:left w:val="none" w:sz="0" w:space="0" w:color="auto"/>
            <w:bottom w:val="none" w:sz="0" w:space="0" w:color="auto"/>
            <w:right w:val="none" w:sz="0" w:space="0" w:color="auto"/>
          </w:divBdr>
          <w:divsChild>
            <w:div w:id="990988495">
              <w:marLeft w:val="-225"/>
              <w:marRight w:val="-225"/>
              <w:marTop w:val="0"/>
              <w:marBottom w:val="0"/>
              <w:divBdr>
                <w:top w:val="none" w:sz="0" w:space="0" w:color="auto"/>
                <w:left w:val="none" w:sz="0" w:space="0" w:color="auto"/>
                <w:bottom w:val="none" w:sz="0" w:space="0" w:color="auto"/>
                <w:right w:val="none" w:sz="0" w:space="0" w:color="auto"/>
              </w:divBdr>
            </w:div>
          </w:divsChild>
        </w:div>
        <w:div w:id="972564746">
          <w:marLeft w:val="0"/>
          <w:marRight w:val="0"/>
          <w:marTop w:val="0"/>
          <w:marBottom w:val="0"/>
          <w:divBdr>
            <w:top w:val="none" w:sz="0" w:space="0" w:color="auto"/>
            <w:left w:val="none" w:sz="0" w:space="0" w:color="auto"/>
            <w:bottom w:val="none" w:sz="0" w:space="0" w:color="auto"/>
            <w:right w:val="none" w:sz="0" w:space="0" w:color="auto"/>
          </w:divBdr>
          <w:divsChild>
            <w:div w:id="1390421073">
              <w:marLeft w:val="-225"/>
              <w:marRight w:val="-225"/>
              <w:marTop w:val="0"/>
              <w:marBottom w:val="0"/>
              <w:divBdr>
                <w:top w:val="none" w:sz="0" w:space="0" w:color="auto"/>
                <w:left w:val="none" w:sz="0" w:space="0" w:color="auto"/>
                <w:bottom w:val="none" w:sz="0" w:space="0" w:color="auto"/>
                <w:right w:val="none" w:sz="0" w:space="0" w:color="auto"/>
              </w:divBdr>
            </w:div>
          </w:divsChild>
        </w:div>
        <w:div w:id="686759964">
          <w:marLeft w:val="0"/>
          <w:marRight w:val="0"/>
          <w:marTop w:val="0"/>
          <w:marBottom w:val="0"/>
          <w:divBdr>
            <w:top w:val="none" w:sz="0" w:space="0" w:color="auto"/>
            <w:left w:val="none" w:sz="0" w:space="0" w:color="auto"/>
            <w:bottom w:val="none" w:sz="0" w:space="0" w:color="auto"/>
            <w:right w:val="none" w:sz="0" w:space="0" w:color="auto"/>
          </w:divBdr>
          <w:divsChild>
            <w:div w:id="1834949441">
              <w:marLeft w:val="-225"/>
              <w:marRight w:val="-225"/>
              <w:marTop w:val="0"/>
              <w:marBottom w:val="0"/>
              <w:divBdr>
                <w:top w:val="none" w:sz="0" w:space="0" w:color="auto"/>
                <w:left w:val="none" w:sz="0" w:space="0" w:color="auto"/>
                <w:bottom w:val="none" w:sz="0" w:space="0" w:color="auto"/>
                <w:right w:val="none" w:sz="0" w:space="0" w:color="auto"/>
              </w:divBdr>
            </w:div>
          </w:divsChild>
        </w:div>
        <w:div w:id="1748070022">
          <w:marLeft w:val="0"/>
          <w:marRight w:val="0"/>
          <w:marTop w:val="0"/>
          <w:marBottom w:val="0"/>
          <w:divBdr>
            <w:top w:val="none" w:sz="0" w:space="0" w:color="auto"/>
            <w:left w:val="none" w:sz="0" w:space="0" w:color="auto"/>
            <w:bottom w:val="none" w:sz="0" w:space="0" w:color="auto"/>
            <w:right w:val="none" w:sz="0" w:space="0" w:color="auto"/>
          </w:divBdr>
          <w:divsChild>
            <w:div w:id="19445310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84914116">
      <w:bodyDiv w:val="1"/>
      <w:marLeft w:val="0"/>
      <w:marRight w:val="0"/>
      <w:marTop w:val="0"/>
      <w:marBottom w:val="0"/>
      <w:divBdr>
        <w:top w:val="none" w:sz="0" w:space="0" w:color="auto"/>
        <w:left w:val="none" w:sz="0" w:space="0" w:color="auto"/>
        <w:bottom w:val="none" w:sz="0" w:space="0" w:color="auto"/>
        <w:right w:val="none" w:sz="0" w:space="0" w:color="auto"/>
      </w:divBdr>
    </w:div>
    <w:div w:id="1229877896">
      <w:bodyDiv w:val="1"/>
      <w:marLeft w:val="0"/>
      <w:marRight w:val="0"/>
      <w:marTop w:val="0"/>
      <w:marBottom w:val="0"/>
      <w:divBdr>
        <w:top w:val="none" w:sz="0" w:space="0" w:color="auto"/>
        <w:left w:val="none" w:sz="0" w:space="0" w:color="auto"/>
        <w:bottom w:val="none" w:sz="0" w:space="0" w:color="auto"/>
        <w:right w:val="none" w:sz="0" w:space="0" w:color="auto"/>
      </w:divBdr>
    </w:div>
    <w:div w:id="1353804064">
      <w:bodyDiv w:val="1"/>
      <w:marLeft w:val="0"/>
      <w:marRight w:val="0"/>
      <w:marTop w:val="0"/>
      <w:marBottom w:val="0"/>
      <w:divBdr>
        <w:top w:val="none" w:sz="0" w:space="0" w:color="auto"/>
        <w:left w:val="none" w:sz="0" w:space="0" w:color="auto"/>
        <w:bottom w:val="none" w:sz="0" w:space="0" w:color="auto"/>
        <w:right w:val="none" w:sz="0" w:space="0" w:color="auto"/>
      </w:divBdr>
    </w:div>
    <w:div w:id="1453401072">
      <w:bodyDiv w:val="1"/>
      <w:marLeft w:val="0"/>
      <w:marRight w:val="0"/>
      <w:marTop w:val="0"/>
      <w:marBottom w:val="0"/>
      <w:divBdr>
        <w:top w:val="none" w:sz="0" w:space="0" w:color="auto"/>
        <w:left w:val="none" w:sz="0" w:space="0" w:color="auto"/>
        <w:bottom w:val="none" w:sz="0" w:space="0" w:color="auto"/>
        <w:right w:val="none" w:sz="0" w:space="0" w:color="auto"/>
      </w:divBdr>
    </w:div>
    <w:div w:id="1669020739">
      <w:bodyDiv w:val="1"/>
      <w:marLeft w:val="0"/>
      <w:marRight w:val="0"/>
      <w:marTop w:val="0"/>
      <w:marBottom w:val="0"/>
      <w:divBdr>
        <w:top w:val="none" w:sz="0" w:space="0" w:color="auto"/>
        <w:left w:val="none" w:sz="0" w:space="0" w:color="auto"/>
        <w:bottom w:val="none" w:sz="0" w:space="0" w:color="auto"/>
        <w:right w:val="none" w:sz="0" w:space="0" w:color="auto"/>
      </w:divBdr>
    </w:div>
    <w:div w:id="1732120543">
      <w:bodyDiv w:val="1"/>
      <w:marLeft w:val="0"/>
      <w:marRight w:val="0"/>
      <w:marTop w:val="0"/>
      <w:marBottom w:val="0"/>
      <w:divBdr>
        <w:top w:val="none" w:sz="0" w:space="0" w:color="auto"/>
        <w:left w:val="none" w:sz="0" w:space="0" w:color="auto"/>
        <w:bottom w:val="none" w:sz="0" w:space="0" w:color="auto"/>
        <w:right w:val="none" w:sz="0" w:space="0" w:color="auto"/>
      </w:divBdr>
      <w:divsChild>
        <w:div w:id="39014653">
          <w:marLeft w:val="0"/>
          <w:marRight w:val="0"/>
          <w:marTop w:val="0"/>
          <w:marBottom w:val="0"/>
          <w:divBdr>
            <w:top w:val="none" w:sz="0" w:space="0" w:color="auto"/>
            <w:left w:val="none" w:sz="0" w:space="0" w:color="auto"/>
            <w:bottom w:val="none" w:sz="0" w:space="0" w:color="auto"/>
            <w:right w:val="none" w:sz="0" w:space="0" w:color="auto"/>
          </w:divBdr>
        </w:div>
        <w:div w:id="200409612">
          <w:marLeft w:val="0"/>
          <w:marRight w:val="0"/>
          <w:marTop w:val="0"/>
          <w:marBottom w:val="0"/>
          <w:divBdr>
            <w:top w:val="none" w:sz="0" w:space="0" w:color="auto"/>
            <w:left w:val="none" w:sz="0" w:space="0" w:color="auto"/>
            <w:bottom w:val="none" w:sz="0" w:space="0" w:color="auto"/>
            <w:right w:val="none" w:sz="0" w:space="0" w:color="auto"/>
          </w:divBdr>
        </w:div>
        <w:div w:id="271909478">
          <w:marLeft w:val="0"/>
          <w:marRight w:val="0"/>
          <w:marTop w:val="0"/>
          <w:marBottom w:val="0"/>
          <w:divBdr>
            <w:top w:val="none" w:sz="0" w:space="0" w:color="auto"/>
            <w:left w:val="none" w:sz="0" w:space="0" w:color="auto"/>
            <w:bottom w:val="none" w:sz="0" w:space="0" w:color="auto"/>
            <w:right w:val="none" w:sz="0" w:space="0" w:color="auto"/>
          </w:divBdr>
        </w:div>
        <w:div w:id="461575858">
          <w:marLeft w:val="0"/>
          <w:marRight w:val="0"/>
          <w:marTop w:val="0"/>
          <w:marBottom w:val="0"/>
          <w:divBdr>
            <w:top w:val="none" w:sz="0" w:space="0" w:color="auto"/>
            <w:left w:val="none" w:sz="0" w:space="0" w:color="auto"/>
            <w:bottom w:val="none" w:sz="0" w:space="0" w:color="auto"/>
            <w:right w:val="none" w:sz="0" w:space="0" w:color="auto"/>
          </w:divBdr>
        </w:div>
        <w:div w:id="581988376">
          <w:marLeft w:val="0"/>
          <w:marRight w:val="0"/>
          <w:marTop w:val="0"/>
          <w:marBottom w:val="0"/>
          <w:divBdr>
            <w:top w:val="none" w:sz="0" w:space="0" w:color="auto"/>
            <w:left w:val="none" w:sz="0" w:space="0" w:color="auto"/>
            <w:bottom w:val="none" w:sz="0" w:space="0" w:color="auto"/>
            <w:right w:val="none" w:sz="0" w:space="0" w:color="auto"/>
          </w:divBdr>
        </w:div>
        <w:div w:id="720055070">
          <w:marLeft w:val="0"/>
          <w:marRight w:val="0"/>
          <w:marTop w:val="0"/>
          <w:marBottom w:val="0"/>
          <w:divBdr>
            <w:top w:val="none" w:sz="0" w:space="0" w:color="auto"/>
            <w:left w:val="none" w:sz="0" w:space="0" w:color="auto"/>
            <w:bottom w:val="none" w:sz="0" w:space="0" w:color="auto"/>
            <w:right w:val="none" w:sz="0" w:space="0" w:color="auto"/>
          </w:divBdr>
        </w:div>
        <w:div w:id="969242048">
          <w:marLeft w:val="0"/>
          <w:marRight w:val="0"/>
          <w:marTop w:val="0"/>
          <w:marBottom w:val="0"/>
          <w:divBdr>
            <w:top w:val="none" w:sz="0" w:space="0" w:color="auto"/>
            <w:left w:val="none" w:sz="0" w:space="0" w:color="auto"/>
            <w:bottom w:val="none" w:sz="0" w:space="0" w:color="auto"/>
            <w:right w:val="none" w:sz="0" w:space="0" w:color="auto"/>
          </w:divBdr>
        </w:div>
        <w:div w:id="1124930631">
          <w:marLeft w:val="0"/>
          <w:marRight w:val="0"/>
          <w:marTop w:val="0"/>
          <w:marBottom w:val="0"/>
          <w:divBdr>
            <w:top w:val="none" w:sz="0" w:space="0" w:color="auto"/>
            <w:left w:val="none" w:sz="0" w:space="0" w:color="auto"/>
            <w:bottom w:val="none" w:sz="0" w:space="0" w:color="auto"/>
            <w:right w:val="none" w:sz="0" w:space="0" w:color="auto"/>
          </w:divBdr>
        </w:div>
        <w:div w:id="1434279184">
          <w:marLeft w:val="0"/>
          <w:marRight w:val="0"/>
          <w:marTop w:val="0"/>
          <w:marBottom w:val="0"/>
          <w:divBdr>
            <w:top w:val="none" w:sz="0" w:space="0" w:color="auto"/>
            <w:left w:val="none" w:sz="0" w:space="0" w:color="auto"/>
            <w:bottom w:val="none" w:sz="0" w:space="0" w:color="auto"/>
            <w:right w:val="none" w:sz="0" w:space="0" w:color="auto"/>
          </w:divBdr>
        </w:div>
        <w:div w:id="1620451556">
          <w:marLeft w:val="0"/>
          <w:marRight w:val="0"/>
          <w:marTop w:val="0"/>
          <w:marBottom w:val="0"/>
          <w:divBdr>
            <w:top w:val="none" w:sz="0" w:space="0" w:color="auto"/>
            <w:left w:val="none" w:sz="0" w:space="0" w:color="auto"/>
            <w:bottom w:val="none" w:sz="0" w:space="0" w:color="auto"/>
            <w:right w:val="none" w:sz="0" w:space="0" w:color="auto"/>
          </w:divBdr>
        </w:div>
      </w:divsChild>
    </w:div>
    <w:div w:id="1757701058">
      <w:bodyDiv w:val="1"/>
      <w:marLeft w:val="0"/>
      <w:marRight w:val="0"/>
      <w:marTop w:val="0"/>
      <w:marBottom w:val="0"/>
      <w:divBdr>
        <w:top w:val="none" w:sz="0" w:space="0" w:color="auto"/>
        <w:left w:val="none" w:sz="0" w:space="0" w:color="auto"/>
        <w:bottom w:val="none" w:sz="0" w:space="0" w:color="auto"/>
        <w:right w:val="none" w:sz="0" w:space="0" w:color="auto"/>
      </w:divBdr>
      <w:divsChild>
        <w:div w:id="240406928">
          <w:marLeft w:val="0"/>
          <w:marRight w:val="0"/>
          <w:marTop w:val="0"/>
          <w:marBottom w:val="0"/>
          <w:divBdr>
            <w:top w:val="none" w:sz="0" w:space="0" w:color="auto"/>
            <w:left w:val="none" w:sz="0" w:space="0" w:color="auto"/>
            <w:bottom w:val="none" w:sz="0" w:space="0" w:color="auto"/>
            <w:right w:val="none" w:sz="0" w:space="0" w:color="auto"/>
          </w:divBdr>
          <w:divsChild>
            <w:div w:id="1649090973">
              <w:marLeft w:val="-225"/>
              <w:marRight w:val="-225"/>
              <w:marTop w:val="0"/>
              <w:marBottom w:val="0"/>
              <w:divBdr>
                <w:top w:val="none" w:sz="0" w:space="0" w:color="auto"/>
                <w:left w:val="none" w:sz="0" w:space="0" w:color="auto"/>
                <w:bottom w:val="none" w:sz="0" w:space="0" w:color="auto"/>
                <w:right w:val="none" w:sz="0" w:space="0" w:color="auto"/>
              </w:divBdr>
            </w:div>
          </w:divsChild>
        </w:div>
        <w:div w:id="2050450105">
          <w:marLeft w:val="0"/>
          <w:marRight w:val="0"/>
          <w:marTop w:val="0"/>
          <w:marBottom w:val="0"/>
          <w:divBdr>
            <w:top w:val="none" w:sz="0" w:space="0" w:color="auto"/>
            <w:left w:val="none" w:sz="0" w:space="0" w:color="auto"/>
            <w:bottom w:val="none" w:sz="0" w:space="0" w:color="auto"/>
            <w:right w:val="none" w:sz="0" w:space="0" w:color="auto"/>
          </w:divBdr>
          <w:divsChild>
            <w:div w:id="271866593">
              <w:marLeft w:val="-225"/>
              <w:marRight w:val="-225"/>
              <w:marTop w:val="0"/>
              <w:marBottom w:val="0"/>
              <w:divBdr>
                <w:top w:val="none" w:sz="0" w:space="0" w:color="auto"/>
                <w:left w:val="none" w:sz="0" w:space="0" w:color="auto"/>
                <w:bottom w:val="none" w:sz="0" w:space="0" w:color="auto"/>
                <w:right w:val="none" w:sz="0" w:space="0" w:color="auto"/>
              </w:divBdr>
            </w:div>
          </w:divsChild>
        </w:div>
        <w:div w:id="407963849">
          <w:marLeft w:val="0"/>
          <w:marRight w:val="0"/>
          <w:marTop w:val="0"/>
          <w:marBottom w:val="0"/>
          <w:divBdr>
            <w:top w:val="none" w:sz="0" w:space="0" w:color="auto"/>
            <w:left w:val="none" w:sz="0" w:space="0" w:color="auto"/>
            <w:bottom w:val="none" w:sz="0" w:space="0" w:color="auto"/>
            <w:right w:val="none" w:sz="0" w:space="0" w:color="auto"/>
          </w:divBdr>
          <w:divsChild>
            <w:div w:id="1770349942">
              <w:marLeft w:val="-225"/>
              <w:marRight w:val="-225"/>
              <w:marTop w:val="0"/>
              <w:marBottom w:val="0"/>
              <w:divBdr>
                <w:top w:val="none" w:sz="0" w:space="0" w:color="auto"/>
                <w:left w:val="none" w:sz="0" w:space="0" w:color="auto"/>
                <w:bottom w:val="none" w:sz="0" w:space="0" w:color="auto"/>
                <w:right w:val="none" w:sz="0" w:space="0" w:color="auto"/>
              </w:divBdr>
            </w:div>
          </w:divsChild>
        </w:div>
        <w:div w:id="961764935">
          <w:marLeft w:val="0"/>
          <w:marRight w:val="0"/>
          <w:marTop w:val="0"/>
          <w:marBottom w:val="0"/>
          <w:divBdr>
            <w:top w:val="none" w:sz="0" w:space="0" w:color="auto"/>
            <w:left w:val="none" w:sz="0" w:space="0" w:color="auto"/>
            <w:bottom w:val="none" w:sz="0" w:space="0" w:color="auto"/>
            <w:right w:val="none" w:sz="0" w:space="0" w:color="auto"/>
          </w:divBdr>
          <w:divsChild>
            <w:div w:id="377513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58120532">
      <w:bodyDiv w:val="1"/>
      <w:marLeft w:val="0"/>
      <w:marRight w:val="0"/>
      <w:marTop w:val="0"/>
      <w:marBottom w:val="0"/>
      <w:divBdr>
        <w:top w:val="none" w:sz="0" w:space="0" w:color="auto"/>
        <w:left w:val="none" w:sz="0" w:space="0" w:color="auto"/>
        <w:bottom w:val="none" w:sz="0" w:space="0" w:color="auto"/>
        <w:right w:val="none" w:sz="0" w:space="0" w:color="auto"/>
      </w:divBdr>
      <w:divsChild>
        <w:div w:id="1351639396">
          <w:marLeft w:val="0"/>
          <w:marRight w:val="0"/>
          <w:marTop w:val="0"/>
          <w:marBottom w:val="0"/>
          <w:divBdr>
            <w:top w:val="none" w:sz="0" w:space="0" w:color="auto"/>
            <w:left w:val="none" w:sz="0" w:space="0" w:color="auto"/>
            <w:bottom w:val="none" w:sz="0" w:space="0" w:color="auto"/>
            <w:right w:val="none" w:sz="0" w:space="0" w:color="auto"/>
          </w:divBdr>
          <w:divsChild>
            <w:div w:id="893392466">
              <w:marLeft w:val="-225"/>
              <w:marRight w:val="-225"/>
              <w:marTop w:val="0"/>
              <w:marBottom w:val="0"/>
              <w:divBdr>
                <w:top w:val="none" w:sz="0" w:space="0" w:color="auto"/>
                <w:left w:val="none" w:sz="0" w:space="0" w:color="auto"/>
                <w:bottom w:val="none" w:sz="0" w:space="0" w:color="auto"/>
                <w:right w:val="none" w:sz="0" w:space="0" w:color="auto"/>
              </w:divBdr>
            </w:div>
          </w:divsChild>
        </w:div>
        <w:div w:id="1074622528">
          <w:marLeft w:val="0"/>
          <w:marRight w:val="0"/>
          <w:marTop w:val="0"/>
          <w:marBottom w:val="0"/>
          <w:divBdr>
            <w:top w:val="none" w:sz="0" w:space="0" w:color="auto"/>
            <w:left w:val="none" w:sz="0" w:space="0" w:color="auto"/>
            <w:bottom w:val="none" w:sz="0" w:space="0" w:color="auto"/>
            <w:right w:val="none" w:sz="0" w:space="0" w:color="auto"/>
          </w:divBdr>
          <w:divsChild>
            <w:div w:id="18268176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87530-B88D-4514-93F1-47378647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Dawson (Housing)</dc:creator>
  <cp:keywords/>
  <dc:description/>
  <cp:lastModifiedBy>Andrea Jones (ELC)</cp:lastModifiedBy>
  <cp:revision>2</cp:revision>
  <cp:lastPrinted>2024-07-04T14:33:00Z</cp:lastPrinted>
  <dcterms:created xsi:type="dcterms:W3CDTF">2024-10-03T10:20:00Z</dcterms:created>
  <dcterms:modified xsi:type="dcterms:W3CDTF">2024-10-03T10:20:00Z</dcterms:modified>
</cp:coreProperties>
</file>