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4D" w:rsidRPr="00F7514D" w:rsidRDefault="004E0946" w:rsidP="00F7514D">
      <w:pPr>
        <w:spacing w:after="0" w:line="360" w:lineRule="auto"/>
        <w:jc w:val="center"/>
        <w:rPr>
          <w:rFonts w:ascii="Arial" w:hAnsi="Arial" w:cs="Arial"/>
          <w:b/>
          <w:sz w:val="24"/>
        </w:rPr>
      </w:pPr>
      <w:r>
        <w:rPr>
          <w:rFonts w:ascii="Arial" w:hAnsi="Arial" w:cs="Arial"/>
          <w:b/>
          <w:sz w:val="24"/>
        </w:rPr>
        <w:t>OPTION</w:t>
      </w:r>
      <w:r w:rsidR="00D1588B" w:rsidRPr="00F7514D">
        <w:rPr>
          <w:rFonts w:ascii="Arial" w:hAnsi="Arial" w:cs="Arial"/>
          <w:b/>
          <w:sz w:val="24"/>
        </w:rPr>
        <w:t>S</w:t>
      </w:r>
      <w:r w:rsidR="00F679FD">
        <w:rPr>
          <w:rFonts w:ascii="Arial" w:hAnsi="Arial" w:cs="Arial"/>
          <w:b/>
          <w:sz w:val="24"/>
        </w:rPr>
        <w:t xml:space="preserve"> </w:t>
      </w:r>
      <w:r w:rsidR="00FC286A">
        <w:rPr>
          <w:rFonts w:ascii="Arial" w:hAnsi="Arial" w:cs="Arial"/>
          <w:b/>
          <w:sz w:val="24"/>
        </w:rPr>
        <w:t xml:space="preserve">OVERVIEW </w:t>
      </w:r>
      <w:r w:rsidR="00F679FD">
        <w:rPr>
          <w:rFonts w:ascii="Arial" w:hAnsi="Arial" w:cs="Arial"/>
          <w:b/>
          <w:sz w:val="24"/>
        </w:rPr>
        <w:t>PAPER</w:t>
      </w:r>
      <w:r>
        <w:rPr>
          <w:rFonts w:ascii="Arial" w:hAnsi="Arial" w:cs="Arial"/>
          <w:b/>
          <w:sz w:val="24"/>
        </w:rPr>
        <w:t xml:space="preserve"> </w:t>
      </w:r>
    </w:p>
    <w:p w:rsidR="00F7514D" w:rsidRDefault="00F7514D" w:rsidP="00F7514D">
      <w:pPr>
        <w:spacing w:after="0" w:line="360" w:lineRule="auto"/>
        <w:rPr>
          <w:rFonts w:ascii="Arial" w:hAnsi="Arial" w:cs="Arial"/>
          <w:sz w:val="24"/>
        </w:rPr>
      </w:pPr>
    </w:p>
    <w:p w:rsidR="00F679FD"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59687E">
        <w:rPr>
          <w:rFonts w:ascii="Arial" w:hAnsi="Arial" w:cs="Arial"/>
          <w:sz w:val="24"/>
        </w:rPr>
        <w:t>following on from the Commission’s consideration, at its meeting</w:t>
      </w:r>
      <w:r w:rsidR="00F679FD">
        <w:rPr>
          <w:rFonts w:ascii="Arial" w:hAnsi="Arial" w:cs="Arial"/>
          <w:sz w:val="24"/>
        </w:rPr>
        <w:t>s to date of a range of options for the configuration of the constituencies across Ireland.</w:t>
      </w:r>
      <w:r w:rsidR="00FC286A">
        <w:rPr>
          <w:rFonts w:ascii="Arial" w:hAnsi="Arial" w:cs="Arial"/>
          <w:sz w:val="24"/>
        </w:rPr>
        <w:t xml:space="preserve"> </w:t>
      </w:r>
    </w:p>
    <w:p w:rsidR="00F679FD" w:rsidRDefault="00F679FD" w:rsidP="00F7514D">
      <w:pPr>
        <w:spacing w:after="0" w:line="360" w:lineRule="auto"/>
        <w:jc w:val="both"/>
        <w:rPr>
          <w:rFonts w:ascii="Arial" w:hAnsi="Arial" w:cs="Arial"/>
          <w:sz w:val="24"/>
        </w:rPr>
      </w:pPr>
    </w:p>
    <w:p w:rsidR="00FC286A" w:rsidRDefault="00FC286A" w:rsidP="00F7514D">
      <w:pPr>
        <w:spacing w:after="0" w:line="360" w:lineRule="auto"/>
        <w:jc w:val="both"/>
        <w:rPr>
          <w:rFonts w:ascii="Arial" w:hAnsi="Arial" w:cs="Arial"/>
          <w:sz w:val="24"/>
        </w:rPr>
      </w:pPr>
      <w:r>
        <w:rPr>
          <w:rFonts w:ascii="Arial" w:hAnsi="Arial" w:cs="Arial"/>
          <w:sz w:val="24"/>
        </w:rPr>
        <w:t>It is intended to provide an overview of the implications of the options which have been generally preferred to date in the various regions</w:t>
      </w:r>
      <w:r w:rsidR="00665452">
        <w:rPr>
          <w:rFonts w:ascii="Arial" w:hAnsi="Arial" w:cs="Arial"/>
          <w:sz w:val="24"/>
        </w:rPr>
        <w:t xml:space="preserve">, </w:t>
      </w:r>
      <w:r w:rsidR="00286494">
        <w:rPr>
          <w:rFonts w:ascii="Arial" w:hAnsi="Arial" w:cs="Arial"/>
          <w:sz w:val="24"/>
        </w:rPr>
        <w:t xml:space="preserve">in </w:t>
      </w:r>
      <w:r>
        <w:rPr>
          <w:rFonts w:ascii="Arial" w:hAnsi="Arial" w:cs="Arial"/>
          <w:sz w:val="24"/>
        </w:rPr>
        <w:t xml:space="preserve">particular </w:t>
      </w:r>
      <w:r w:rsidR="00286494">
        <w:rPr>
          <w:rFonts w:ascii="Arial" w:hAnsi="Arial" w:cs="Arial"/>
          <w:sz w:val="24"/>
        </w:rPr>
        <w:t xml:space="preserve">with regard to </w:t>
      </w:r>
      <w:r>
        <w:rPr>
          <w:rFonts w:ascii="Arial" w:hAnsi="Arial" w:cs="Arial"/>
          <w:sz w:val="24"/>
        </w:rPr>
        <w:t xml:space="preserve">the </w:t>
      </w:r>
      <w:r w:rsidR="00CB5DA9">
        <w:rPr>
          <w:rFonts w:ascii="Arial" w:hAnsi="Arial" w:cs="Arial"/>
          <w:sz w:val="24"/>
        </w:rPr>
        <w:t>balancing</w:t>
      </w:r>
      <w:r>
        <w:rPr>
          <w:rFonts w:ascii="Arial" w:hAnsi="Arial" w:cs="Arial"/>
          <w:sz w:val="24"/>
        </w:rPr>
        <w:t xml:space="preserve"> of variances with the </w:t>
      </w:r>
      <w:r w:rsidR="00CB5DA9">
        <w:rPr>
          <w:rFonts w:ascii="Arial" w:hAnsi="Arial" w:cs="Arial"/>
          <w:sz w:val="24"/>
        </w:rPr>
        <w:t xml:space="preserve">avoidance of the </w:t>
      </w:r>
      <w:r>
        <w:rPr>
          <w:rFonts w:ascii="Arial" w:hAnsi="Arial" w:cs="Arial"/>
          <w:sz w:val="24"/>
        </w:rPr>
        <w:t>breaching of county boundaries</w:t>
      </w:r>
      <w:r w:rsidR="00665452">
        <w:rPr>
          <w:rFonts w:ascii="Arial" w:hAnsi="Arial" w:cs="Arial"/>
          <w:sz w:val="24"/>
        </w:rPr>
        <w:t xml:space="preserve">.  </w:t>
      </w:r>
    </w:p>
    <w:p w:rsidR="00FC286A" w:rsidRDefault="00FC286A" w:rsidP="00F7514D">
      <w:pPr>
        <w:spacing w:after="0" w:line="360" w:lineRule="auto"/>
        <w:jc w:val="both"/>
        <w:rPr>
          <w:rFonts w:ascii="Arial" w:hAnsi="Arial" w:cs="Arial"/>
          <w:sz w:val="24"/>
        </w:rPr>
      </w:pPr>
      <w:r>
        <w:rPr>
          <w:rFonts w:ascii="Arial" w:hAnsi="Arial" w:cs="Arial"/>
          <w:sz w:val="24"/>
        </w:rPr>
        <w:t>I</w:t>
      </w:r>
      <w:r w:rsidR="00F679FD">
        <w:rPr>
          <w:rFonts w:ascii="Arial" w:hAnsi="Arial" w:cs="Arial"/>
          <w:sz w:val="24"/>
        </w:rPr>
        <w:t xml:space="preserve">t is important to note that it is presented </w:t>
      </w:r>
      <w:r w:rsidR="00E761A6">
        <w:rPr>
          <w:rFonts w:ascii="Arial" w:hAnsi="Arial" w:cs="Arial"/>
          <w:sz w:val="24"/>
        </w:rPr>
        <w:t xml:space="preserve">prior to full analysis of all the submissions received.  </w:t>
      </w:r>
      <w:r w:rsidR="00F679FD">
        <w:rPr>
          <w:rFonts w:ascii="Arial" w:hAnsi="Arial" w:cs="Arial"/>
          <w:sz w:val="24"/>
        </w:rPr>
        <w:t xml:space="preserve">Submissions were invited on 10 February 2023 and accordingly the closing date </w:t>
      </w:r>
      <w:r>
        <w:rPr>
          <w:rFonts w:ascii="Arial" w:hAnsi="Arial" w:cs="Arial"/>
          <w:sz w:val="24"/>
        </w:rPr>
        <w:t>wa</w:t>
      </w:r>
      <w:r w:rsidR="00F679FD">
        <w:rPr>
          <w:rFonts w:ascii="Arial" w:hAnsi="Arial" w:cs="Arial"/>
          <w:sz w:val="24"/>
        </w:rPr>
        <w:t>s 10 M</w:t>
      </w:r>
      <w:r w:rsidR="00D3340C">
        <w:rPr>
          <w:rFonts w:ascii="Arial" w:hAnsi="Arial" w:cs="Arial"/>
          <w:sz w:val="24"/>
        </w:rPr>
        <w:t xml:space="preserve">ay 2023. </w:t>
      </w:r>
    </w:p>
    <w:p w:rsidR="00665452" w:rsidRDefault="00665452" w:rsidP="00F7514D">
      <w:pPr>
        <w:spacing w:after="0" w:line="360" w:lineRule="auto"/>
        <w:jc w:val="both"/>
        <w:rPr>
          <w:rFonts w:ascii="Arial" w:hAnsi="Arial" w:cs="Arial"/>
          <w:sz w:val="24"/>
        </w:rPr>
      </w:pPr>
    </w:p>
    <w:p w:rsidR="00F679FD" w:rsidRDefault="00665452" w:rsidP="00F7514D">
      <w:pPr>
        <w:spacing w:after="0" w:line="360" w:lineRule="auto"/>
        <w:jc w:val="both"/>
        <w:rPr>
          <w:rFonts w:ascii="Arial" w:hAnsi="Arial" w:cs="Arial"/>
          <w:sz w:val="24"/>
        </w:rPr>
      </w:pPr>
      <w:r>
        <w:rPr>
          <w:rFonts w:ascii="Arial" w:hAnsi="Arial" w:cs="Arial"/>
          <w:sz w:val="24"/>
        </w:rPr>
        <w:t>It should be noted that t</w:t>
      </w:r>
      <w:r w:rsidR="00E761A6">
        <w:rPr>
          <w:rFonts w:ascii="Arial" w:hAnsi="Arial" w:cs="Arial"/>
          <w:sz w:val="24"/>
        </w:rPr>
        <w:t>his paper</w:t>
      </w:r>
      <w:r w:rsidR="00E37A4C">
        <w:rPr>
          <w:rFonts w:ascii="Arial" w:hAnsi="Arial" w:cs="Arial"/>
          <w:sz w:val="24"/>
        </w:rPr>
        <w:t xml:space="preserve"> follows on from and may usefully be read in conjunction with the </w:t>
      </w:r>
      <w:r w:rsidR="007C0B0D">
        <w:rPr>
          <w:rFonts w:ascii="Arial" w:hAnsi="Arial" w:cs="Arial"/>
          <w:i/>
          <w:sz w:val="24"/>
        </w:rPr>
        <w:t>EC 2.5 - S</w:t>
      </w:r>
      <w:r w:rsidR="00E37A4C" w:rsidRPr="00E37A4C">
        <w:rPr>
          <w:rFonts w:ascii="Arial" w:hAnsi="Arial" w:cs="Arial"/>
          <w:i/>
          <w:sz w:val="24"/>
        </w:rPr>
        <w:t xml:space="preserve">coping paper - </w:t>
      </w:r>
      <w:proofErr w:type="spellStart"/>
      <w:r w:rsidR="00E37A4C" w:rsidRPr="00E37A4C">
        <w:rPr>
          <w:rFonts w:ascii="Arial" w:hAnsi="Arial" w:cs="Arial"/>
          <w:i/>
          <w:sz w:val="24"/>
        </w:rPr>
        <w:t>Dáil</w:t>
      </w:r>
      <w:proofErr w:type="spellEnd"/>
      <w:r w:rsidR="00E37A4C" w:rsidRPr="00E37A4C">
        <w:rPr>
          <w:rFonts w:ascii="Arial" w:hAnsi="Arial" w:cs="Arial"/>
          <w:i/>
          <w:sz w:val="24"/>
        </w:rPr>
        <w:t xml:space="preserve"> Constituenc</w:t>
      </w:r>
      <w:r w:rsidR="007C0B0D">
        <w:rPr>
          <w:rFonts w:ascii="Arial" w:hAnsi="Arial" w:cs="Arial"/>
          <w:i/>
          <w:sz w:val="24"/>
        </w:rPr>
        <w:t>ies 2022</w:t>
      </w:r>
      <w:r w:rsidR="002D7E0A">
        <w:rPr>
          <w:rFonts w:ascii="Arial" w:hAnsi="Arial" w:cs="Arial"/>
          <w:sz w:val="24"/>
        </w:rPr>
        <w:t xml:space="preserve"> </w:t>
      </w:r>
      <w:r w:rsidR="00FC286A">
        <w:rPr>
          <w:rFonts w:ascii="Arial" w:hAnsi="Arial" w:cs="Arial"/>
          <w:sz w:val="24"/>
        </w:rPr>
        <w:t xml:space="preserve">and </w:t>
      </w:r>
      <w:r w:rsidR="00FC286A" w:rsidRPr="00FC286A">
        <w:rPr>
          <w:rFonts w:ascii="Arial" w:hAnsi="Arial" w:cs="Arial"/>
          <w:i/>
          <w:sz w:val="24"/>
        </w:rPr>
        <w:t>EC 7.4 – Summary Options Paper</w:t>
      </w:r>
      <w:r w:rsidR="00FC286A">
        <w:rPr>
          <w:rFonts w:ascii="Arial" w:hAnsi="Arial" w:cs="Arial"/>
          <w:sz w:val="24"/>
        </w:rPr>
        <w:t xml:space="preserve">. </w:t>
      </w:r>
    </w:p>
    <w:p w:rsidR="0066068D" w:rsidRDefault="0066068D" w:rsidP="00F7514D">
      <w:pPr>
        <w:spacing w:after="0" w:line="360" w:lineRule="auto"/>
        <w:jc w:val="both"/>
        <w:rPr>
          <w:rFonts w:ascii="Arial" w:hAnsi="Arial" w:cs="Arial"/>
          <w:sz w:val="24"/>
        </w:rPr>
      </w:pPr>
      <w:r>
        <w:rPr>
          <w:rFonts w:ascii="Arial" w:hAnsi="Arial" w:cs="Arial"/>
          <w:sz w:val="24"/>
        </w:rPr>
        <w:t xml:space="preserve">It should also be considered along with </w:t>
      </w:r>
      <w:r w:rsidRPr="0066068D">
        <w:rPr>
          <w:rFonts w:ascii="Arial" w:hAnsi="Arial" w:cs="Arial"/>
          <w:i/>
          <w:sz w:val="24"/>
        </w:rPr>
        <w:t>EC 8.4 – Ireland Overview Map</w:t>
      </w:r>
      <w:r>
        <w:rPr>
          <w:rFonts w:ascii="Arial" w:hAnsi="Arial" w:cs="Arial"/>
          <w:sz w:val="24"/>
        </w:rPr>
        <w:t xml:space="preserve">. </w:t>
      </w:r>
    </w:p>
    <w:p w:rsidR="00FC286A" w:rsidRDefault="00FC286A" w:rsidP="00F7514D">
      <w:pPr>
        <w:spacing w:after="0" w:line="360" w:lineRule="auto"/>
        <w:jc w:val="both"/>
        <w:rPr>
          <w:rFonts w:ascii="Arial" w:hAnsi="Arial" w:cs="Arial"/>
          <w:sz w:val="24"/>
        </w:rPr>
      </w:pPr>
    </w:p>
    <w:p w:rsidR="0096543E" w:rsidRDefault="0096543E" w:rsidP="00F7514D">
      <w:pPr>
        <w:spacing w:after="0" w:line="360" w:lineRule="auto"/>
        <w:jc w:val="both"/>
        <w:rPr>
          <w:rFonts w:ascii="Arial" w:hAnsi="Arial" w:cs="Arial"/>
          <w:sz w:val="24"/>
        </w:rPr>
      </w:pPr>
      <w:r>
        <w:rPr>
          <w:rFonts w:ascii="Arial" w:hAnsi="Arial" w:cs="Arial"/>
          <w:sz w:val="24"/>
        </w:rPr>
        <w:t xml:space="preserve">Note that consideration of options in the Cork region is not yet advanced enough for analysis in this paper. </w:t>
      </w:r>
    </w:p>
    <w:p w:rsidR="0096543E" w:rsidRDefault="0096543E" w:rsidP="00F7514D">
      <w:pPr>
        <w:spacing w:after="0" w:line="360" w:lineRule="auto"/>
        <w:jc w:val="both"/>
        <w:rPr>
          <w:rFonts w:ascii="Arial" w:hAnsi="Arial" w:cs="Arial"/>
          <w:sz w:val="24"/>
        </w:rPr>
      </w:pPr>
    </w:p>
    <w:p w:rsidR="005923E3" w:rsidRPr="005923E3" w:rsidRDefault="009F01FD" w:rsidP="00F7514D">
      <w:pPr>
        <w:spacing w:after="0" w:line="360" w:lineRule="auto"/>
        <w:jc w:val="both"/>
        <w:rPr>
          <w:rFonts w:ascii="Arial" w:hAnsi="Arial" w:cs="Arial"/>
          <w:b/>
          <w:sz w:val="24"/>
        </w:rPr>
      </w:pPr>
      <w:r>
        <w:rPr>
          <w:rFonts w:ascii="Arial" w:hAnsi="Arial" w:cs="Arial"/>
          <w:b/>
          <w:sz w:val="24"/>
        </w:rPr>
        <w:t xml:space="preserve">1 </w:t>
      </w:r>
      <w:r>
        <w:rPr>
          <w:rFonts w:ascii="Arial" w:hAnsi="Arial" w:cs="Arial"/>
          <w:b/>
          <w:sz w:val="24"/>
        </w:rPr>
        <w:tab/>
      </w:r>
      <w:r w:rsidR="005923E3" w:rsidRPr="005923E3">
        <w:rPr>
          <w:rFonts w:ascii="Arial" w:hAnsi="Arial" w:cs="Arial"/>
          <w:b/>
          <w:sz w:val="24"/>
        </w:rPr>
        <w:t xml:space="preserve">OVERVIEW </w:t>
      </w:r>
    </w:p>
    <w:p w:rsidR="005923E3" w:rsidRDefault="005923E3" w:rsidP="00F7514D">
      <w:pPr>
        <w:spacing w:after="0" w:line="360" w:lineRule="auto"/>
        <w:jc w:val="both"/>
        <w:rPr>
          <w:rFonts w:ascii="Arial" w:hAnsi="Arial" w:cs="Arial"/>
          <w:sz w:val="24"/>
        </w:rPr>
      </w:pPr>
    </w:p>
    <w:p w:rsidR="00665452" w:rsidRDefault="00665452" w:rsidP="00F7514D">
      <w:pPr>
        <w:spacing w:after="0" w:line="360" w:lineRule="auto"/>
        <w:jc w:val="both"/>
        <w:rPr>
          <w:rFonts w:ascii="Arial" w:hAnsi="Arial" w:cs="Arial"/>
          <w:sz w:val="24"/>
        </w:rPr>
      </w:pPr>
      <w:r>
        <w:rPr>
          <w:rFonts w:ascii="Arial" w:hAnsi="Arial" w:cs="Arial"/>
          <w:sz w:val="24"/>
        </w:rPr>
        <w:t xml:space="preserve">To a considerable degree, the work of the Commission in developing options for constituencies, takes place within the framework of the interplay between the constitutional requirement for equality of representation, </w:t>
      </w:r>
      <w:r>
        <w:rPr>
          <w:rFonts w:ascii="Arial" w:hAnsi="Arial" w:cs="Arial"/>
          <w:i/>
          <w:sz w:val="24"/>
        </w:rPr>
        <w:t xml:space="preserve">so </w:t>
      </w:r>
      <w:r w:rsidRPr="00665452">
        <w:rPr>
          <w:rFonts w:ascii="Arial" w:hAnsi="Arial" w:cs="Arial"/>
          <w:i/>
          <w:sz w:val="24"/>
        </w:rPr>
        <w:t xml:space="preserve">far as </w:t>
      </w:r>
      <w:r>
        <w:rPr>
          <w:rFonts w:ascii="Arial" w:hAnsi="Arial" w:cs="Arial"/>
          <w:i/>
          <w:sz w:val="24"/>
        </w:rPr>
        <w:t xml:space="preserve">it is </w:t>
      </w:r>
      <w:r w:rsidRPr="00665452">
        <w:rPr>
          <w:rFonts w:ascii="Arial" w:hAnsi="Arial" w:cs="Arial"/>
          <w:i/>
          <w:sz w:val="24"/>
        </w:rPr>
        <w:t>practicable</w:t>
      </w:r>
      <w:r>
        <w:rPr>
          <w:rFonts w:ascii="Arial" w:hAnsi="Arial" w:cs="Arial"/>
          <w:sz w:val="24"/>
        </w:rPr>
        <w:t xml:space="preserve">, and at the same time the legislated requirement that breaching of county boundaries </w:t>
      </w:r>
      <w:r w:rsidRPr="00665452">
        <w:rPr>
          <w:rFonts w:ascii="Arial" w:hAnsi="Arial" w:cs="Arial"/>
          <w:i/>
          <w:sz w:val="24"/>
        </w:rPr>
        <w:t>shall be avoided as far as practicable</w:t>
      </w:r>
      <w:r>
        <w:rPr>
          <w:rFonts w:ascii="Arial" w:hAnsi="Arial" w:cs="Arial"/>
          <w:sz w:val="24"/>
        </w:rPr>
        <w:t xml:space="preserve">. </w:t>
      </w:r>
    </w:p>
    <w:p w:rsidR="00665452" w:rsidRDefault="00665452" w:rsidP="00F7514D">
      <w:pPr>
        <w:spacing w:after="0" w:line="360" w:lineRule="auto"/>
        <w:jc w:val="both"/>
        <w:rPr>
          <w:rFonts w:ascii="Arial" w:hAnsi="Arial" w:cs="Arial"/>
          <w:sz w:val="24"/>
        </w:rPr>
      </w:pPr>
    </w:p>
    <w:p w:rsidR="00665452" w:rsidRDefault="0035526A" w:rsidP="00F7514D">
      <w:pPr>
        <w:spacing w:after="0" w:line="360" w:lineRule="auto"/>
        <w:jc w:val="both"/>
        <w:rPr>
          <w:rFonts w:ascii="Arial" w:hAnsi="Arial" w:cs="Arial"/>
          <w:sz w:val="24"/>
        </w:rPr>
      </w:pPr>
      <w:r>
        <w:rPr>
          <w:rFonts w:ascii="Arial" w:hAnsi="Arial" w:cs="Arial"/>
          <w:sz w:val="24"/>
        </w:rPr>
        <w:t>In this context, it is of interest</w:t>
      </w:r>
      <w:r w:rsidR="007C0B0D">
        <w:rPr>
          <w:rFonts w:ascii="Arial" w:hAnsi="Arial" w:cs="Arial"/>
          <w:sz w:val="24"/>
        </w:rPr>
        <w:t xml:space="preserve"> </w:t>
      </w:r>
      <w:r>
        <w:rPr>
          <w:rFonts w:ascii="Arial" w:hAnsi="Arial" w:cs="Arial"/>
          <w:sz w:val="24"/>
        </w:rPr>
        <w:t xml:space="preserve">to consider the variances and variance ranges that Constituency Commissions have </w:t>
      </w:r>
      <w:r w:rsidR="00C33DF3">
        <w:rPr>
          <w:rFonts w:ascii="Arial" w:hAnsi="Arial" w:cs="Arial"/>
          <w:sz w:val="24"/>
        </w:rPr>
        <w:t xml:space="preserve">previously </w:t>
      </w:r>
      <w:r>
        <w:rPr>
          <w:rFonts w:ascii="Arial" w:hAnsi="Arial" w:cs="Arial"/>
          <w:sz w:val="24"/>
        </w:rPr>
        <w:t xml:space="preserve">found acceptable.  </w:t>
      </w:r>
    </w:p>
    <w:p w:rsidR="00286494" w:rsidRDefault="00286494" w:rsidP="00F7514D">
      <w:pPr>
        <w:spacing w:after="0" w:line="360" w:lineRule="auto"/>
        <w:jc w:val="both"/>
        <w:rPr>
          <w:rFonts w:ascii="Arial" w:hAnsi="Arial" w:cs="Arial"/>
          <w:sz w:val="24"/>
        </w:rPr>
      </w:pPr>
    </w:p>
    <w:p w:rsidR="0035526A" w:rsidRDefault="007C0B0D" w:rsidP="00F7514D">
      <w:pPr>
        <w:spacing w:after="0" w:line="360" w:lineRule="auto"/>
        <w:jc w:val="both"/>
        <w:rPr>
          <w:rFonts w:ascii="Arial" w:hAnsi="Arial" w:cs="Arial"/>
          <w:sz w:val="24"/>
        </w:rPr>
      </w:pPr>
      <w:r>
        <w:rPr>
          <w:rFonts w:ascii="Arial" w:hAnsi="Arial" w:cs="Arial"/>
          <w:sz w:val="24"/>
        </w:rPr>
        <w:t xml:space="preserve">Table 1 below is reproduced from </w:t>
      </w:r>
      <w:r>
        <w:rPr>
          <w:rFonts w:ascii="Arial" w:hAnsi="Arial" w:cs="Arial"/>
          <w:i/>
          <w:sz w:val="24"/>
        </w:rPr>
        <w:t>EC 2.5 - S</w:t>
      </w:r>
      <w:r w:rsidRPr="00E37A4C">
        <w:rPr>
          <w:rFonts w:ascii="Arial" w:hAnsi="Arial" w:cs="Arial"/>
          <w:i/>
          <w:sz w:val="24"/>
        </w:rPr>
        <w:t xml:space="preserve">coping paper - </w:t>
      </w:r>
      <w:proofErr w:type="spellStart"/>
      <w:r w:rsidRPr="00E37A4C">
        <w:rPr>
          <w:rFonts w:ascii="Arial" w:hAnsi="Arial" w:cs="Arial"/>
          <w:i/>
          <w:sz w:val="24"/>
        </w:rPr>
        <w:t>Dáil</w:t>
      </w:r>
      <w:proofErr w:type="spellEnd"/>
      <w:r w:rsidRPr="00E37A4C">
        <w:rPr>
          <w:rFonts w:ascii="Arial" w:hAnsi="Arial" w:cs="Arial"/>
          <w:i/>
          <w:sz w:val="24"/>
        </w:rPr>
        <w:t xml:space="preserve"> Constituenc</w:t>
      </w:r>
      <w:r>
        <w:rPr>
          <w:rFonts w:ascii="Arial" w:hAnsi="Arial" w:cs="Arial"/>
          <w:i/>
          <w:sz w:val="24"/>
        </w:rPr>
        <w:t>ies 2022</w:t>
      </w:r>
    </w:p>
    <w:p w:rsidR="007C0B0D" w:rsidRDefault="007C0B0D" w:rsidP="00F7514D">
      <w:pPr>
        <w:spacing w:after="0" w:line="360" w:lineRule="auto"/>
        <w:jc w:val="both"/>
        <w:rPr>
          <w:rFonts w:ascii="Arial" w:hAnsi="Arial" w:cs="Arial"/>
          <w:sz w:val="24"/>
        </w:rPr>
      </w:pPr>
      <w:r>
        <w:rPr>
          <w:rFonts w:ascii="Arial" w:hAnsi="Arial" w:cs="Arial"/>
          <w:sz w:val="24"/>
        </w:rPr>
        <w:t xml:space="preserve">and provides an historical </w:t>
      </w:r>
      <w:r w:rsidR="00C33DF3">
        <w:rPr>
          <w:rFonts w:ascii="Arial" w:hAnsi="Arial" w:cs="Arial"/>
          <w:sz w:val="24"/>
        </w:rPr>
        <w:t>over</w:t>
      </w:r>
      <w:r>
        <w:rPr>
          <w:rFonts w:ascii="Arial" w:hAnsi="Arial" w:cs="Arial"/>
          <w:sz w:val="24"/>
        </w:rPr>
        <w:t xml:space="preserve">view of this from 1980.  </w:t>
      </w:r>
    </w:p>
    <w:p w:rsidR="0066068D" w:rsidRDefault="0066068D" w:rsidP="00F7514D">
      <w:pPr>
        <w:spacing w:after="0" w:line="360" w:lineRule="auto"/>
        <w:jc w:val="both"/>
        <w:rPr>
          <w:rFonts w:ascii="Arial" w:hAnsi="Arial" w:cs="Arial"/>
          <w:sz w:val="24"/>
        </w:rPr>
      </w:pPr>
    </w:p>
    <w:p w:rsidR="007C0B0D" w:rsidRDefault="007C0B0D" w:rsidP="007C0B0D">
      <w:pPr>
        <w:spacing w:line="276" w:lineRule="auto"/>
        <w:jc w:val="both"/>
        <w:rPr>
          <w:rFonts w:ascii="Arial" w:hAnsi="Arial" w:cs="Arial"/>
          <w:b/>
          <w:sz w:val="24"/>
          <w:szCs w:val="24"/>
        </w:rPr>
      </w:pPr>
      <w:r w:rsidRPr="00253397">
        <w:rPr>
          <w:rFonts w:ascii="Arial" w:hAnsi="Arial" w:cs="Arial"/>
          <w:b/>
          <w:sz w:val="24"/>
          <w:szCs w:val="24"/>
        </w:rPr>
        <w:t xml:space="preserve">Table 1 - Highest and lowest percentage variances in Constituency Commission reports since 1980 </w:t>
      </w:r>
    </w:p>
    <w:p w:rsidR="007C0B0D" w:rsidRPr="00253397" w:rsidRDefault="007C0B0D" w:rsidP="007C0B0D">
      <w:pPr>
        <w:spacing w:after="0" w:line="276" w:lineRule="auto"/>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93"/>
        <w:gridCol w:w="2590"/>
        <w:gridCol w:w="3116"/>
        <w:gridCol w:w="2217"/>
      </w:tblGrid>
      <w:tr w:rsidR="007C0B0D" w:rsidRPr="00253397" w:rsidTr="001303E4">
        <w:tc>
          <w:tcPr>
            <w:tcW w:w="1093" w:type="dxa"/>
            <w:shd w:val="clear" w:color="auto" w:fill="D9D9D9"/>
            <w:vAlign w:val="center"/>
          </w:tcPr>
          <w:p w:rsidR="007C0B0D" w:rsidRPr="00253397" w:rsidRDefault="007C0B0D" w:rsidP="007C0B0D">
            <w:pPr>
              <w:spacing w:after="0" w:line="276" w:lineRule="auto"/>
              <w:jc w:val="center"/>
              <w:rPr>
                <w:rFonts w:ascii="Arial" w:hAnsi="Arial" w:cs="Arial"/>
                <w:b/>
                <w:sz w:val="24"/>
                <w:szCs w:val="24"/>
              </w:rPr>
            </w:pPr>
            <w:r w:rsidRPr="00253397">
              <w:rPr>
                <w:rFonts w:ascii="Arial" w:hAnsi="Arial" w:cs="Arial"/>
                <w:b/>
                <w:sz w:val="24"/>
                <w:szCs w:val="24"/>
              </w:rPr>
              <w:t>Year of Report</w:t>
            </w:r>
          </w:p>
        </w:tc>
        <w:tc>
          <w:tcPr>
            <w:tcW w:w="2590" w:type="dxa"/>
            <w:shd w:val="clear" w:color="auto" w:fill="D9D9D9"/>
            <w:vAlign w:val="center"/>
          </w:tcPr>
          <w:p w:rsidR="007C0B0D" w:rsidRPr="00253397" w:rsidRDefault="007C0B0D" w:rsidP="007C0B0D">
            <w:pPr>
              <w:spacing w:after="0" w:line="276" w:lineRule="auto"/>
              <w:jc w:val="center"/>
              <w:rPr>
                <w:rFonts w:ascii="Arial" w:hAnsi="Arial" w:cs="Arial"/>
                <w:b/>
                <w:sz w:val="24"/>
                <w:szCs w:val="24"/>
              </w:rPr>
            </w:pPr>
            <w:r w:rsidRPr="00253397">
              <w:rPr>
                <w:rFonts w:ascii="Arial" w:hAnsi="Arial" w:cs="Arial"/>
                <w:b/>
                <w:sz w:val="24"/>
                <w:szCs w:val="24"/>
              </w:rPr>
              <w:t>Highest Variance %</w:t>
            </w:r>
          </w:p>
        </w:tc>
        <w:tc>
          <w:tcPr>
            <w:tcW w:w="3116" w:type="dxa"/>
            <w:shd w:val="clear" w:color="auto" w:fill="D9D9D9"/>
            <w:vAlign w:val="center"/>
          </w:tcPr>
          <w:p w:rsidR="007C0B0D" w:rsidRPr="00253397" w:rsidRDefault="007C0B0D" w:rsidP="007C0B0D">
            <w:pPr>
              <w:spacing w:after="0" w:line="276" w:lineRule="auto"/>
              <w:jc w:val="center"/>
              <w:rPr>
                <w:rFonts w:ascii="Arial" w:hAnsi="Arial" w:cs="Arial"/>
                <w:b/>
                <w:sz w:val="24"/>
                <w:szCs w:val="24"/>
              </w:rPr>
            </w:pPr>
            <w:r w:rsidRPr="00253397">
              <w:rPr>
                <w:rFonts w:ascii="Arial" w:hAnsi="Arial" w:cs="Arial"/>
                <w:b/>
                <w:sz w:val="24"/>
                <w:szCs w:val="24"/>
              </w:rPr>
              <w:t>Lowest Variance %</w:t>
            </w:r>
          </w:p>
        </w:tc>
        <w:tc>
          <w:tcPr>
            <w:tcW w:w="2217" w:type="dxa"/>
            <w:shd w:val="clear" w:color="auto" w:fill="D9D9D9"/>
            <w:vAlign w:val="center"/>
          </w:tcPr>
          <w:p w:rsidR="007C0B0D" w:rsidRPr="00253397" w:rsidRDefault="007C0B0D" w:rsidP="007C0B0D">
            <w:pPr>
              <w:spacing w:after="0" w:line="276" w:lineRule="auto"/>
              <w:jc w:val="center"/>
              <w:rPr>
                <w:rFonts w:ascii="Arial" w:hAnsi="Arial" w:cs="Arial"/>
                <w:b/>
                <w:sz w:val="24"/>
                <w:szCs w:val="24"/>
              </w:rPr>
            </w:pPr>
            <w:r w:rsidRPr="00253397">
              <w:rPr>
                <w:rFonts w:ascii="Arial" w:hAnsi="Arial" w:cs="Arial"/>
                <w:b/>
                <w:sz w:val="24"/>
                <w:szCs w:val="24"/>
              </w:rPr>
              <w:t xml:space="preserve">Total range of Variance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1980</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+6.28 (Carlow-Kilkenny)</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-6.42 (Mayo East)</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12.70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1983</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+6.68 (Louth)</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-7.89 (Mayo-East)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14.57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1990</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+7.61 (Louth) </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-6.98 (Tipperary North)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14.59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1995</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+6.80 (Louth) </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-5.76 (Sligo-Leitrim)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12.56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1998</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+6.66 (Waterford) </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-7.44 (Sligo-Leitrim)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14.10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2004</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+7.87 (Louth) </w:t>
            </w:r>
          </w:p>
        </w:tc>
        <w:tc>
          <w:tcPr>
            <w:tcW w:w="3116" w:type="dxa"/>
            <w:shd w:val="clear" w:color="auto" w:fill="auto"/>
          </w:tcPr>
          <w:p w:rsidR="007C0B0D" w:rsidRPr="00253397" w:rsidRDefault="007C0B0D" w:rsidP="007C0B0D">
            <w:pPr>
              <w:spacing w:after="0" w:line="276" w:lineRule="auto"/>
              <w:rPr>
                <w:rFonts w:ascii="Arial" w:hAnsi="Arial" w:cs="Arial"/>
                <w:sz w:val="24"/>
                <w:szCs w:val="24"/>
              </w:rPr>
            </w:pPr>
            <w:r w:rsidRPr="00253397">
              <w:rPr>
                <w:rFonts w:ascii="Arial" w:hAnsi="Arial" w:cs="Arial"/>
                <w:sz w:val="24"/>
                <w:szCs w:val="24"/>
              </w:rPr>
              <w:t>-7.50 (Cavan-Monaghan)</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15.37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2007</w:t>
            </w:r>
          </w:p>
        </w:tc>
        <w:tc>
          <w:tcPr>
            <w:tcW w:w="2590" w:type="dxa"/>
            <w:shd w:val="clear" w:color="auto" w:fill="auto"/>
          </w:tcPr>
          <w:p w:rsidR="007C0B0D" w:rsidRPr="00253397" w:rsidRDefault="007C0B0D" w:rsidP="007C0B0D">
            <w:pPr>
              <w:spacing w:after="0" w:line="276" w:lineRule="auto"/>
              <w:rPr>
                <w:rFonts w:ascii="Arial" w:hAnsi="Arial" w:cs="Arial"/>
                <w:sz w:val="24"/>
                <w:szCs w:val="24"/>
              </w:rPr>
            </w:pPr>
            <w:r w:rsidRPr="00253397">
              <w:rPr>
                <w:rFonts w:ascii="Arial" w:hAnsi="Arial" w:cs="Arial"/>
                <w:sz w:val="24"/>
                <w:szCs w:val="24"/>
              </w:rPr>
              <w:t xml:space="preserve">+4.73 (Carlow-Kilkenny) </w:t>
            </w:r>
          </w:p>
        </w:tc>
        <w:tc>
          <w:tcPr>
            <w:tcW w:w="3116" w:type="dxa"/>
            <w:shd w:val="clear" w:color="auto" w:fill="auto"/>
          </w:tcPr>
          <w:p w:rsidR="007C0B0D" w:rsidRPr="00253397" w:rsidRDefault="007C0B0D" w:rsidP="007C0B0D">
            <w:pPr>
              <w:spacing w:after="0" w:line="276" w:lineRule="auto"/>
              <w:rPr>
                <w:rFonts w:ascii="Arial" w:hAnsi="Arial" w:cs="Arial"/>
                <w:sz w:val="24"/>
                <w:szCs w:val="24"/>
              </w:rPr>
            </w:pPr>
            <w:r w:rsidRPr="00253397">
              <w:rPr>
                <w:rFonts w:ascii="Arial" w:hAnsi="Arial" w:cs="Arial"/>
                <w:sz w:val="24"/>
                <w:szCs w:val="24"/>
              </w:rPr>
              <w:t>-6.03 (Cavan-Monaghan)</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10.76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2012</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+4.93 (Donegal) </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-4.94 (Dublin Mid-West)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 xml:space="preserve">  9.87 </w:t>
            </w:r>
          </w:p>
        </w:tc>
      </w:tr>
      <w:tr w:rsidR="007C0B0D" w:rsidRPr="00253397" w:rsidTr="001303E4">
        <w:tc>
          <w:tcPr>
            <w:tcW w:w="1093" w:type="dxa"/>
            <w:shd w:val="clear" w:color="auto" w:fill="auto"/>
            <w:vAlign w:val="center"/>
          </w:tcPr>
          <w:p w:rsidR="007C0B0D" w:rsidRPr="00253397" w:rsidRDefault="007C0B0D" w:rsidP="007C0B0D">
            <w:pPr>
              <w:spacing w:after="0" w:line="276" w:lineRule="auto"/>
              <w:jc w:val="center"/>
              <w:rPr>
                <w:rFonts w:ascii="Arial" w:hAnsi="Arial" w:cs="Arial"/>
                <w:sz w:val="24"/>
                <w:szCs w:val="24"/>
              </w:rPr>
            </w:pPr>
            <w:r w:rsidRPr="00253397">
              <w:rPr>
                <w:rFonts w:ascii="Arial" w:hAnsi="Arial" w:cs="Arial"/>
                <w:sz w:val="24"/>
                <w:szCs w:val="24"/>
              </w:rPr>
              <w:t>2017</w:t>
            </w:r>
          </w:p>
        </w:tc>
        <w:tc>
          <w:tcPr>
            <w:tcW w:w="2590"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+5.07 (Dun Laoghaire) </w:t>
            </w:r>
          </w:p>
        </w:tc>
        <w:tc>
          <w:tcPr>
            <w:tcW w:w="3116" w:type="dxa"/>
            <w:shd w:val="clear" w:color="auto" w:fill="auto"/>
          </w:tcPr>
          <w:p w:rsidR="007C0B0D" w:rsidRPr="00253397" w:rsidRDefault="007C0B0D" w:rsidP="007C0B0D">
            <w:pPr>
              <w:spacing w:after="0" w:line="276" w:lineRule="auto"/>
              <w:jc w:val="both"/>
              <w:rPr>
                <w:rFonts w:ascii="Arial" w:hAnsi="Arial" w:cs="Arial"/>
                <w:sz w:val="24"/>
                <w:szCs w:val="24"/>
              </w:rPr>
            </w:pPr>
            <w:r w:rsidRPr="00253397">
              <w:rPr>
                <w:rFonts w:ascii="Arial" w:hAnsi="Arial" w:cs="Arial"/>
                <w:sz w:val="24"/>
                <w:szCs w:val="24"/>
              </w:rPr>
              <w:t xml:space="preserve">-5.25 (Dublin North West) </w:t>
            </w:r>
          </w:p>
        </w:tc>
        <w:tc>
          <w:tcPr>
            <w:tcW w:w="2217" w:type="dxa"/>
            <w:shd w:val="clear" w:color="auto" w:fill="auto"/>
          </w:tcPr>
          <w:p w:rsidR="007C0B0D" w:rsidRPr="00253397" w:rsidRDefault="007C0B0D" w:rsidP="007C0B0D">
            <w:pPr>
              <w:spacing w:after="0" w:line="276" w:lineRule="auto"/>
              <w:ind w:left="884"/>
              <w:jc w:val="both"/>
              <w:rPr>
                <w:rFonts w:ascii="Arial" w:hAnsi="Arial" w:cs="Arial"/>
                <w:sz w:val="24"/>
                <w:szCs w:val="24"/>
              </w:rPr>
            </w:pPr>
            <w:r w:rsidRPr="00253397">
              <w:rPr>
                <w:rFonts w:ascii="Arial" w:hAnsi="Arial" w:cs="Arial"/>
                <w:sz w:val="24"/>
                <w:szCs w:val="24"/>
              </w:rPr>
              <w:t>10.32</w:t>
            </w:r>
          </w:p>
        </w:tc>
      </w:tr>
    </w:tbl>
    <w:p w:rsidR="007C0B0D" w:rsidRDefault="007C0B0D" w:rsidP="00F7514D">
      <w:pPr>
        <w:spacing w:after="0" w:line="360" w:lineRule="auto"/>
        <w:jc w:val="both"/>
        <w:rPr>
          <w:rFonts w:ascii="Arial" w:hAnsi="Arial" w:cs="Arial"/>
          <w:sz w:val="24"/>
        </w:rPr>
      </w:pPr>
    </w:p>
    <w:p w:rsidR="006D7CAE" w:rsidRPr="00253397" w:rsidRDefault="006D7CAE" w:rsidP="006D7CAE">
      <w:pPr>
        <w:spacing w:after="0" w:line="360" w:lineRule="auto"/>
        <w:jc w:val="both"/>
        <w:rPr>
          <w:rFonts w:ascii="Arial" w:hAnsi="Arial" w:cs="Arial"/>
          <w:sz w:val="24"/>
          <w:szCs w:val="24"/>
        </w:rPr>
      </w:pPr>
      <w:r w:rsidRPr="00253397">
        <w:rPr>
          <w:rFonts w:ascii="Arial" w:hAnsi="Arial" w:cs="Arial"/>
          <w:sz w:val="24"/>
          <w:szCs w:val="24"/>
        </w:rPr>
        <w:t xml:space="preserve">It can be seen </w:t>
      </w:r>
      <w:r>
        <w:rPr>
          <w:rFonts w:ascii="Arial" w:hAnsi="Arial" w:cs="Arial"/>
          <w:sz w:val="24"/>
          <w:szCs w:val="24"/>
        </w:rPr>
        <w:t xml:space="preserve">in Table 1 </w:t>
      </w:r>
      <w:r w:rsidRPr="00253397">
        <w:rPr>
          <w:rFonts w:ascii="Arial" w:hAnsi="Arial" w:cs="Arial"/>
          <w:sz w:val="24"/>
          <w:szCs w:val="24"/>
        </w:rPr>
        <w:t xml:space="preserve">that variances have ranged from a low of -7.89% in 1983 to a high of +7.87% in 2004.  The total range of variances from lowest to highest in each case is also </w:t>
      </w:r>
      <w:r>
        <w:rPr>
          <w:rFonts w:ascii="Arial" w:hAnsi="Arial" w:cs="Arial"/>
          <w:sz w:val="24"/>
          <w:szCs w:val="24"/>
        </w:rPr>
        <w:t>of interest</w:t>
      </w:r>
      <w:r w:rsidRPr="00253397">
        <w:rPr>
          <w:rFonts w:ascii="Arial" w:hAnsi="Arial" w:cs="Arial"/>
          <w:sz w:val="24"/>
          <w:szCs w:val="24"/>
        </w:rPr>
        <w:t>.  The widest range was in 2004, at 15.37</w:t>
      </w:r>
      <w:r>
        <w:rPr>
          <w:rFonts w:ascii="Arial" w:hAnsi="Arial" w:cs="Arial"/>
          <w:sz w:val="24"/>
          <w:szCs w:val="24"/>
        </w:rPr>
        <w:t>%</w:t>
      </w:r>
      <w:r w:rsidRPr="00253397">
        <w:rPr>
          <w:rFonts w:ascii="Arial" w:hAnsi="Arial" w:cs="Arial"/>
          <w:sz w:val="24"/>
          <w:szCs w:val="24"/>
        </w:rPr>
        <w:t>, but it may also be noted that the two narrowest ranges have occurred in the two most recent reports, 9.87</w:t>
      </w:r>
      <w:r>
        <w:rPr>
          <w:rFonts w:ascii="Arial" w:hAnsi="Arial" w:cs="Arial"/>
          <w:sz w:val="24"/>
          <w:szCs w:val="24"/>
        </w:rPr>
        <w:t>%</w:t>
      </w:r>
      <w:r w:rsidRPr="00253397">
        <w:rPr>
          <w:rFonts w:ascii="Arial" w:hAnsi="Arial" w:cs="Arial"/>
          <w:sz w:val="24"/>
          <w:szCs w:val="24"/>
        </w:rPr>
        <w:t xml:space="preserve"> and 10.32</w:t>
      </w:r>
      <w:r>
        <w:rPr>
          <w:rFonts w:ascii="Arial" w:hAnsi="Arial" w:cs="Arial"/>
          <w:sz w:val="24"/>
          <w:szCs w:val="24"/>
        </w:rPr>
        <w:t>%</w:t>
      </w:r>
      <w:r w:rsidRPr="00253397">
        <w:rPr>
          <w:rFonts w:ascii="Arial" w:hAnsi="Arial" w:cs="Arial"/>
          <w:sz w:val="24"/>
          <w:szCs w:val="24"/>
        </w:rPr>
        <w:t>, respectively.  These compare to a range of 32.56</w:t>
      </w:r>
      <w:r>
        <w:rPr>
          <w:rFonts w:ascii="Arial" w:hAnsi="Arial" w:cs="Arial"/>
          <w:sz w:val="24"/>
          <w:szCs w:val="24"/>
        </w:rPr>
        <w:t>%</w:t>
      </w:r>
      <w:r w:rsidRPr="00253397">
        <w:rPr>
          <w:rFonts w:ascii="Arial" w:hAnsi="Arial" w:cs="Arial"/>
          <w:sz w:val="24"/>
          <w:szCs w:val="24"/>
        </w:rPr>
        <w:t xml:space="preserve"> </w:t>
      </w:r>
      <w:r>
        <w:rPr>
          <w:rFonts w:ascii="Arial" w:hAnsi="Arial" w:cs="Arial"/>
          <w:sz w:val="24"/>
          <w:szCs w:val="24"/>
        </w:rPr>
        <w:t xml:space="preserve">in the constituencies set out in the 1959 Act, which was overturned. </w:t>
      </w:r>
    </w:p>
    <w:p w:rsidR="006D7CAE" w:rsidRDefault="006D7CAE" w:rsidP="00F7514D">
      <w:pPr>
        <w:spacing w:after="0" w:line="360" w:lineRule="auto"/>
        <w:jc w:val="both"/>
        <w:rPr>
          <w:rFonts w:ascii="Arial" w:hAnsi="Arial" w:cs="Arial"/>
          <w:sz w:val="24"/>
        </w:rPr>
      </w:pPr>
    </w:p>
    <w:p w:rsidR="0035526A" w:rsidRDefault="00F803E2" w:rsidP="00F7514D">
      <w:pPr>
        <w:spacing w:after="0" w:line="360" w:lineRule="auto"/>
        <w:jc w:val="both"/>
        <w:rPr>
          <w:rFonts w:ascii="Arial" w:hAnsi="Arial" w:cs="Arial"/>
          <w:sz w:val="24"/>
        </w:rPr>
      </w:pPr>
      <w:r>
        <w:rPr>
          <w:rFonts w:ascii="Arial" w:hAnsi="Arial" w:cs="Arial"/>
          <w:sz w:val="24"/>
        </w:rPr>
        <w:t xml:space="preserve">While it is the case that a range of from -5% to +5% has been the guideline generally, it is </w:t>
      </w:r>
      <w:r w:rsidR="006D7CAE">
        <w:rPr>
          <w:rFonts w:ascii="Arial" w:hAnsi="Arial" w:cs="Arial"/>
          <w:sz w:val="24"/>
        </w:rPr>
        <w:t xml:space="preserve">clear </w:t>
      </w:r>
      <w:r>
        <w:rPr>
          <w:rFonts w:ascii="Arial" w:hAnsi="Arial" w:cs="Arial"/>
          <w:sz w:val="24"/>
        </w:rPr>
        <w:t>that figur</w:t>
      </w:r>
      <w:r w:rsidR="00E7505A">
        <w:rPr>
          <w:rFonts w:ascii="Arial" w:hAnsi="Arial" w:cs="Arial"/>
          <w:sz w:val="24"/>
        </w:rPr>
        <w:t xml:space="preserve">es </w:t>
      </w:r>
      <w:r w:rsidR="006D7CAE">
        <w:rPr>
          <w:rFonts w:ascii="Arial" w:hAnsi="Arial" w:cs="Arial"/>
          <w:sz w:val="24"/>
        </w:rPr>
        <w:t xml:space="preserve">appreciably </w:t>
      </w:r>
      <w:r w:rsidR="00E7505A">
        <w:rPr>
          <w:rFonts w:ascii="Arial" w:hAnsi="Arial" w:cs="Arial"/>
          <w:sz w:val="24"/>
        </w:rPr>
        <w:t xml:space="preserve">outside that range have </w:t>
      </w:r>
      <w:r>
        <w:rPr>
          <w:rFonts w:ascii="Arial" w:hAnsi="Arial" w:cs="Arial"/>
          <w:sz w:val="24"/>
        </w:rPr>
        <w:t>been found acceptable</w:t>
      </w:r>
      <w:r w:rsidR="00E7505A">
        <w:rPr>
          <w:rFonts w:ascii="Arial" w:hAnsi="Arial" w:cs="Arial"/>
          <w:sz w:val="24"/>
        </w:rPr>
        <w:t xml:space="preserve">, </w:t>
      </w:r>
      <w:r>
        <w:rPr>
          <w:rFonts w:ascii="Arial" w:hAnsi="Arial" w:cs="Arial"/>
          <w:sz w:val="24"/>
        </w:rPr>
        <w:t xml:space="preserve">usually </w:t>
      </w:r>
      <w:r w:rsidR="00E7505A">
        <w:rPr>
          <w:rFonts w:ascii="Arial" w:hAnsi="Arial" w:cs="Arial"/>
          <w:sz w:val="24"/>
        </w:rPr>
        <w:t xml:space="preserve">where </w:t>
      </w:r>
      <w:r>
        <w:rPr>
          <w:rFonts w:ascii="Arial" w:hAnsi="Arial" w:cs="Arial"/>
          <w:sz w:val="24"/>
        </w:rPr>
        <w:t xml:space="preserve">specific circumstances </w:t>
      </w:r>
      <w:r w:rsidR="00E7505A">
        <w:rPr>
          <w:rFonts w:ascii="Arial" w:hAnsi="Arial" w:cs="Arial"/>
          <w:sz w:val="24"/>
        </w:rPr>
        <w:t xml:space="preserve">applied </w:t>
      </w:r>
      <w:r>
        <w:rPr>
          <w:rFonts w:ascii="Arial" w:hAnsi="Arial" w:cs="Arial"/>
          <w:sz w:val="24"/>
        </w:rPr>
        <w:t>in each case.</w:t>
      </w:r>
      <w:r w:rsidR="00E7505A">
        <w:rPr>
          <w:rFonts w:ascii="Arial" w:hAnsi="Arial" w:cs="Arial"/>
          <w:sz w:val="24"/>
        </w:rPr>
        <w:t xml:space="preserve"> </w:t>
      </w:r>
    </w:p>
    <w:p w:rsidR="006D7CAE" w:rsidRDefault="006D7CAE" w:rsidP="00F7514D">
      <w:pPr>
        <w:spacing w:after="0" w:line="360" w:lineRule="auto"/>
        <w:jc w:val="both"/>
        <w:rPr>
          <w:rFonts w:ascii="Arial" w:hAnsi="Arial" w:cs="Arial"/>
          <w:sz w:val="24"/>
        </w:rPr>
      </w:pPr>
    </w:p>
    <w:p w:rsidR="007C0B0D" w:rsidRDefault="008627F8" w:rsidP="00F7514D">
      <w:pPr>
        <w:spacing w:after="0" w:line="360" w:lineRule="auto"/>
        <w:jc w:val="both"/>
        <w:rPr>
          <w:rFonts w:ascii="Arial" w:hAnsi="Arial" w:cs="Arial"/>
          <w:sz w:val="24"/>
        </w:rPr>
      </w:pPr>
      <w:r>
        <w:rPr>
          <w:rFonts w:ascii="Arial" w:hAnsi="Arial" w:cs="Arial"/>
          <w:sz w:val="24"/>
        </w:rPr>
        <w:t xml:space="preserve">It </w:t>
      </w:r>
      <w:r w:rsidR="00F803E2">
        <w:rPr>
          <w:rFonts w:ascii="Arial" w:hAnsi="Arial" w:cs="Arial"/>
          <w:sz w:val="24"/>
        </w:rPr>
        <w:t xml:space="preserve">is of interest to consider the potential for exploring variance figures further outside this range than has hitherto been the case, and in particular, whether such an approach might allow for the resolution of breaches of county boundaries in any of the options preferred to date. </w:t>
      </w:r>
    </w:p>
    <w:p w:rsidR="008627F8" w:rsidRDefault="008627F8" w:rsidP="00F7514D">
      <w:pPr>
        <w:spacing w:after="0" w:line="360" w:lineRule="auto"/>
        <w:jc w:val="both"/>
        <w:rPr>
          <w:rFonts w:ascii="Arial" w:hAnsi="Arial" w:cs="Arial"/>
          <w:sz w:val="24"/>
        </w:rPr>
      </w:pPr>
    </w:p>
    <w:p w:rsidR="00D3340C" w:rsidRPr="00D3340C" w:rsidRDefault="009F01FD" w:rsidP="00F7514D">
      <w:pPr>
        <w:spacing w:after="0" w:line="360" w:lineRule="auto"/>
        <w:jc w:val="both"/>
        <w:rPr>
          <w:rFonts w:ascii="Arial" w:hAnsi="Arial" w:cs="Arial"/>
          <w:b/>
          <w:sz w:val="24"/>
        </w:rPr>
      </w:pPr>
      <w:r>
        <w:rPr>
          <w:rFonts w:ascii="Arial" w:hAnsi="Arial" w:cs="Arial"/>
          <w:b/>
          <w:sz w:val="24"/>
        </w:rPr>
        <w:t xml:space="preserve">3 </w:t>
      </w:r>
      <w:r>
        <w:rPr>
          <w:rFonts w:ascii="Arial" w:hAnsi="Arial" w:cs="Arial"/>
          <w:b/>
          <w:sz w:val="24"/>
        </w:rPr>
        <w:tab/>
      </w:r>
      <w:r w:rsidR="00D3340C" w:rsidRPr="00D3340C">
        <w:rPr>
          <w:rFonts w:ascii="Arial" w:hAnsi="Arial" w:cs="Arial"/>
          <w:b/>
          <w:sz w:val="24"/>
        </w:rPr>
        <w:t xml:space="preserve">SUMMARY OF REGIONS </w:t>
      </w:r>
    </w:p>
    <w:p w:rsidR="00D3340C" w:rsidRDefault="00D3340C" w:rsidP="00F7514D">
      <w:pPr>
        <w:spacing w:after="0" w:line="360" w:lineRule="auto"/>
        <w:jc w:val="both"/>
        <w:rPr>
          <w:rFonts w:ascii="Arial" w:hAnsi="Arial" w:cs="Arial"/>
          <w:sz w:val="24"/>
        </w:rPr>
      </w:pPr>
    </w:p>
    <w:p w:rsidR="00D20BD4" w:rsidRDefault="00D20BD4" w:rsidP="00F7514D">
      <w:pPr>
        <w:spacing w:after="0" w:line="360" w:lineRule="auto"/>
        <w:jc w:val="both"/>
        <w:rPr>
          <w:rFonts w:ascii="Arial" w:hAnsi="Arial" w:cs="Arial"/>
          <w:sz w:val="24"/>
        </w:rPr>
      </w:pPr>
      <w:r>
        <w:rPr>
          <w:rFonts w:ascii="Arial" w:hAnsi="Arial" w:cs="Arial"/>
          <w:sz w:val="24"/>
        </w:rPr>
        <w:t xml:space="preserve">It is useful to tabulate a range of parameters </w:t>
      </w:r>
      <w:r w:rsidR="00C33DF3">
        <w:rPr>
          <w:rFonts w:ascii="Arial" w:hAnsi="Arial" w:cs="Arial"/>
          <w:sz w:val="24"/>
        </w:rPr>
        <w:t xml:space="preserve">relating to breaches of county boundaries </w:t>
      </w:r>
      <w:r>
        <w:rPr>
          <w:rFonts w:ascii="Arial" w:hAnsi="Arial" w:cs="Arial"/>
          <w:sz w:val="24"/>
        </w:rPr>
        <w:t xml:space="preserve">for each of the regions where preferences have been expressed to date.  This provides a baseline from which variations on these preferences can be compared.  </w:t>
      </w:r>
      <w:r w:rsidR="00524E4B">
        <w:rPr>
          <w:rFonts w:ascii="Arial" w:hAnsi="Arial" w:cs="Arial"/>
          <w:sz w:val="24"/>
        </w:rPr>
        <w:t xml:space="preserve"> A regional level summary focussing on population is provided i</w:t>
      </w:r>
      <w:r>
        <w:rPr>
          <w:rFonts w:ascii="Arial" w:hAnsi="Arial" w:cs="Arial"/>
          <w:sz w:val="24"/>
        </w:rPr>
        <w:t>n T</w:t>
      </w:r>
      <w:r w:rsidR="00524E4B">
        <w:rPr>
          <w:rFonts w:ascii="Arial" w:hAnsi="Arial" w:cs="Arial"/>
          <w:sz w:val="24"/>
        </w:rPr>
        <w:t xml:space="preserve">able 2 below.  </w:t>
      </w:r>
    </w:p>
    <w:p w:rsidR="0066068D" w:rsidRDefault="0066068D" w:rsidP="00F7514D">
      <w:pPr>
        <w:spacing w:after="0" w:line="360" w:lineRule="auto"/>
        <w:jc w:val="both"/>
        <w:rPr>
          <w:rFonts w:ascii="Arial" w:hAnsi="Arial" w:cs="Arial"/>
          <w:sz w:val="24"/>
        </w:rPr>
      </w:pPr>
    </w:p>
    <w:p w:rsidR="002D23D2" w:rsidRDefault="002D23D2" w:rsidP="00F7514D">
      <w:pPr>
        <w:spacing w:after="0" w:line="360" w:lineRule="auto"/>
        <w:jc w:val="both"/>
        <w:rPr>
          <w:rFonts w:ascii="Arial" w:hAnsi="Arial" w:cs="Arial"/>
          <w:sz w:val="24"/>
        </w:rPr>
      </w:pPr>
      <w:r w:rsidRPr="00253397">
        <w:rPr>
          <w:rFonts w:ascii="Arial" w:hAnsi="Arial" w:cs="Arial"/>
          <w:b/>
          <w:sz w:val="24"/>
          <w:szCs w:val="24"/>
        </w:rPr>
        <w:t xml:space="preserve">Table </w:t>
      </w:r>
      <w:r>
        <w:rPr>
          <w:rFonts w:ascii="Arial" w:hAnsi="Arial" w:cs="Arial"/>
          <w:b/>
          <w:sz w:val="24"/>
          <w:szCs w:val="24"/>
        </w:rPr>
        <w:t xml:space="preserve">2 – Populations and percentage of population in county boundary breaches in each region in options </w:t>
      </w:r>
      <w:r w:rsidR="001303E4">
        <w:rPr>
          <w:rFonts w:ascii="Arial" w:hAnsi="Arial" w:cs="Arial"/>
          <w:b/>
          <w:sz w:val="24"/>
          <w:szCs w:val="24"/>
        </w:rPr>
        <w:t xml:space="preserve">considered </w:t>
      </w:r>
      <w:r>
        <w:rPr>
          <w:rFonts w:ascii="Arial" w:hAnsi="Arial" w:cs="Arial"/>
          <w:b/>
          <w:sz w:val="24"/>
          <w:szCs w:val="24"/>
        </w:rPr>
        <w:t xml:space="preserve">to date </w:t>
      </w:r>
    </w:p>
    <w:tbl>
      <w:tblPr>
        <w:tblStyle w:val="TableGrid"/>
        <w:tblW w:w="9356" w:type="dxa"/>
        <w:tblInd w:w="-147" w:type="dxa"/>
        <w:tblLook w:val="04A0" w:firstRow="1" w:lastRow="0" w:firstColumn="1" w:lastColumn="0" w:noHBand="0" w:noVBand="1"/>
      </w:tblPr>
      <w:tblGrid>
        <w:gridCol w:w="996"/>
        <w:gridCol w:w="806"/>
        <w:gridCol w:w="1061"/>
        <w:gridCol w:w="1061"/>
        <w:gridCol w:w="1039"/>
        <w:gridCol w:w="1039"/>
        <w:gridCol w:w="1039"/>
        <w:gridCol w:w="1061"/>
        <w:gridCol w:w="1254"/>
      </w:tblGrid>
      <w:tr w:rsidR="002D23D2" w:rsidTr="00826819">
        <w:tc>
          <w:tcPr>
            <w:tcW w:w="996"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sidRPr="002D23D2">
              <w:rPr>
                <w:rFonts w:ascii="Arial" w:hAnsi="Arial" w:cs="Arial"/>
                <w:sz w:val="20"/>
              </w:rPr>
              <w:t>Region</w:t>
            </w:r>
          </w:p>
        </w:tc>
        <w:tc>
          <w:tcPr>
            <w:tcW w:w="806"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sidRPr="002D23D2">
              <w:rPr>
                <w:rFonts w:ascii="Arial" w:hAnsi="Arial" w:cs="Arial"/>
                <w:sz w:val="20"/>
              </w:rPr>
              <w:t>Option #</w:t>
            </w:r>
          </w:p>
        </w:tc>
        <w:tc>
          <w:tcPr>
            <w:tcW w:w="1061" w:type="dxa"/>
            <w:shd w:val="clear" w:color="auto" w:fill="D9D9D9" w:themeFill="background1" w:themeFillShade="D9"/>
          </w:tcPr>
          <w:p w:rsidR="002D23D2" w:rsidRPr="002D23D2" w:rsidRDefault="002D23D2" w:rsidP="002D23D2">
            <w:pPr>
              <w:spacing w:line="360" w:lineRule="auto"/>
              <w:jc w:val="both"/>
              <w:rPr>
                <w:rFonts w:ascii="Arial" w:hAnsi="Arial" w:cs="Arial"/>
                <w:sz w:val="20"/>
              </w:rPr>
            </w:pPr>
            <w:r w:rsidRPr="002D23D2">
              <w:rPr>
                <w:rFonts w:ascii="Arial" w:hAnsi="Arial" w:cs="Arial"/>
                <w:sz w:val="20"/>
              </w:rPr>
              <w:t>Breach</w:t>
            </w:r>
            <w:r>
              <w:rPr>
                <w:rFonts w:ascii="Arial" w:hAnsi="Arial" w:cs="Arial"/>
                <w:sz w:val="20"/>
              </w:rPr>
              <w:t>es</w:t>
            </w:r>
            <w:r w:rsidRPr="002D23D2">
              <w:rPr>
                <w:rFonts w:ascii="Arial" w:hAnsi="Arial" w:cs="Arial"/>
                <w:sz w:val="20"/>
              </w:rPr>
              <w:t xml:space="preserve"> restored</w:t>
            </w:r>
          </w:p>
        </w:tc>
        <w:tc>
          <w:tcPr>
            <w:tcW w:w="1061"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sidRPr="002D23D2">
              <w:rPr>
                <w:rFonts w:ascii="Arial" w:hAnsi="Arial" w:cs="Arial"/>
                <w:sz w:val="20"/>
              </w:rPr>
              <w:t>Breach</w:t>
            </w:r>
            <w:r>
              <w:rPr>
                <w:rFonts w:ascii="Arial" w:hAnsi="Arial" w:cs="Arial"/>
                <w:sz w:val="20"/>
              </w:rPr>
              <w:t>es</w:t>
            </w:r>
            <w:r w:rsidRPr="002D23D2">
              <w:rPr>
                <w:rFonts w:ascii="Arial" w:hAnsi="Arial" w:cs="Arial"/>
                <w:sz w:val="20"/>
              </w:rPr>
              <w:t xml:space="preserve"> not restored</w:t>
            </w:r>
          </w:p>
        </w:tc>
        <w:tc>
          <w:tcPr>
            <w:tcW w:w="1039"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Pr>
                <w:rFonts w:ascii="Arial" w:hAnsi="Arial" w:cs="Arial"/>
                <w:sz w:val="20"/>
              </w:rPr>
              <w:t>Pop</w:t>
            </w:r>
            <w:r w:rsidRPr="002D23D2">
              <w:rPr>
                <w:rFonts w:ascii="Arial" w:hAnsi="Arial" w:cs="Arial"/>
                <w:sz w:val="20"/>
              </w:rPr>
              <w:t xml:space="preserve"> of current breaches</w:t>
            </w:r>
          </w:p>
        </w:tc>
        <w:tc>
          <w:tcPr>
            <w:tcW w:w="1039"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sidRPr="002D23D2">
              <w:rPr>
                <w:rFonts w:ascii="Arial" w:hAnsi="Arial" w:cs="Arial"/>
                <w:sz w:val="20"/>
              </w:rPr>
              <w:t xml:space="preserve">Current breaches %: </w:t>
            </w:r>
          </w:p>
        </w:tc>
        <w:tc>
          <w:tcPr>
            <w:tcW w:w="1039"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Pr>
                <w:rFonts w:ascii="Arial" w:hAnsi="Arial" w:cs="Arial"/>
                <w:sz w:val="20"/>
              </w:rPr>
              <w:t>Pop</w:t>
            </w:r>
            <w:r w:rsidRPr="002D23D2">
              <w:rPr>
                <w:rFonts w:ascii="Arial" w:hAnsi="Arial" w:cs="Arial"/>
                <w:sz w:val="20"/>
              </w:rPr>
              <w:t xml:space="preserve"> of breaches in Option</w:t>
            </w:r>
          </w:p>
        </w:tc>
        <w:tc>
          <w:tcPr>
            <w:tcW w:w="1061"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sidRPr="002D23D2">
              <w:rPr>
                <w:rFonts w:ascii="Arial" w:hAnsi="Arial" w:cs="Arial"/>
                <w:sz w:val="20"/>
              </w:rPr>
              <w:t>B</w:t>
            </w:r>
            <w:r>
              <w:rPr>
                <w:rFonts w:ascii="Arial" w:hAnsi="Arial" w:cs="Arial"/>
                <w:sz w:val="20"/>
              </w:rPr>
              <w:t>reaches new</w:t>
            </w:r>
            <w:r w:rsidRPr="002D23D2">
              <w:rPr>
                <w:rFonts w:ascii="Arial" w:hAnsi="Arial" w:cs="Arial"/>
                <w:sz w:val="20"/>
              </w:rPr>
              <w:t xml:space="preserve"> %: </w:t>
            </w:r>
          </w:p>
        </w:tc>
        <w:tc>
          <w:tcPr>
            <w:tcW w:w="1254" w:type="dxa"/>
            <w:shd w:val="clear" w:color="auto" w:fill="D9D9D9" w:themeFill="background1" w:themeFillShade="D9"/>
          </w:tcPr>
          <w:p w:rsidR="002D23D2" w:rsidRPr="002D23D2" w:rsidRDefault="002D23D2" w:rsidP="00F7514D">
            <w:pPr>
              <w:spacing w:line="360" w:lineRule="auto"/>
              <w:jc w:val="both"/>
              <w:rPr>
                <w:rFonts w:ascii="Arial" w:hAnsi="Arial" w:cs="Arial"/>
                <w:sz w:val="20"/>
              </w:rPr>
            </w:pPr>
            <w:r>
              <w:rPr>
                <w:rFonts w:ascii="Arial" w:hAnsi="Arial" w:cs="Arial"/>
                <w:sz w:val="20"/>
              </w:rPr>
              <w:t xml:space="preserve">Breaches reduced %: </w:t>
            </w:r>
          </w:p>
        </w:tc>
      </w:tr>
      <w:tr w:rsidR="002D23D2" w:rsidTr="00826819">
        <w:tc>
          <w:tcPr>
            <w:tcW w:w="996" w:type="dxa"/>
            <w:vAlign w:val="center"/>
          </w:tcPr>
          <w:p w:rsidR="002D23D2" w:rsidRPr="002D23D2" w:rsidRDefault="002D23D2" w:rsidP="002D23D2">
            <w:pPr>
              <w:spacing w:line="360" w:lineRule="auto"/>
              <w:jc w:val="both"/>
              <w:rPr>
                <w:rFonts w:ascii="Arial" w:hAnsi="Arial" w:cs="Arial"/>
                <w:sz w:val="20"/>
              </w:rPr>
            </w:pPr>
            <w:r w:rsidRPr="002D23D2">
              <w:rPr>
                <w:rFonts w:ascii="Arial" w:hAnsi="Arial" w:cs="Arial"/>
                <w:sz w:val="20"/>
              </w:rPr>
              <w:t xml:space="preserve">North </w:t>
            </w:r>
            <w:r>
              <w:rPr>
                <w:rFonts w:ascii="Arial" w:hAnsi="Arial" w:cs="Arial"/>
                <w:sz w:val="20"/>
              </w:rPr>
              <w:t>W</w:t>
            </w:r>
            <w:r w:rsidRPr="002D23D2">
              <w:rPr>
                <w:rFonts w:ascii="Arial" w:hAnsi="Arial" w:cs="Arial"/>
                <w:sz w:val="20"/>
              </w:rPr>
              <w:t>est</w:t>
            </w:r>
          </w:p>
        </w:tc>
        <w:tc>
          <w:tcPr>
            <w:tcW w:w="806" w:type="dxa"/>
            <w:vAlign w:val="center"/>
          </w:tcPr>
          <w:p w:rsidR="002D23D2" w:rsidRPr="002D23D2" w:rsidRDefault="002D23D2" w:rsidP="002D23D2">
            <w:pPr>
              <w:spacing w:line="360" w:lineRule="auto"/>
              <w:jc w:val="center"/>
              <w:rPr>
                <w:rFonts w:ascii="Arial" w:hAnsi="Arial" w:cs="Arial"/>
                <w:sz w:val="20"/>
              </w:rPr>
            </w:pPr>
            <w:r w:rsidRPr="002D23D2">
              <w:rPr>
                <w:rFonts w:ascii="Arial" w:hAnsi="Arial" w:cs="Arial"/>
                <w:sz w:val="20"/>
              </w:rPr>
              <w:t>1</w:t>
            </w:r>
          </w:p>
        </w:tc>
        <w:tc>
          <w:tcPr>
            <w:tcW w:w="1061" w:type="dxa"/>
            <w:vAlign w:val="center"/>
          </w:tcPr>
          <w:p w:rsidR="002D23D2" w:rsidRPr="002D23D2" w:rsidRDefault="002D23D2" w:rsidP="002D23D2">
            <w:pPr>
              <w:spacing w:line="360" w:lineRule="auto"/>
              <w:jc w:val="center"/>
              <w:rPr>
                <w:rFonts w:ascii="Arial" w:hAnsi="Arial" w:cs="Arial"/>
                <w:sz w:val="20"/>
              </w:rPr>
            </w:pPr>
            <w:r w:rsidRPr="002D23D2">
              <w:rPr>
                <w:rFonts w:ascii="Arial" w:hAnsi="Arial" w:cs="Arial"/>
                <w:sz w:val="20"/>
              </w:rPr>
              <w:t>30,690</w:t>
            </w:r>
          </w:p>
        </w:tc>
        <w:tc>
          <w:tcPr>
            <w:tcW w:w="1061" w:type="dxa"/>
            <w:vAlign w:val="center"/>
          </w:tcPr>
          <w:p w:rsidR="002D23D2" w:rsidRPr="002D23D2" w:rsidRDefault="00005301" w:rsidP="00005301">
            <w:pPr>
              <w:spacing w:line="360" w:lineRule="auto"/>
              <w:jc w:val="center"/>
              <w:rPr>
                <w:rFonts w:ascii="Arial" w:hAnsi="Arial" w:cs="Arial"/>
                <w:sz w:val="20"/>
              </w:rPr>
            </w:pPr>
            <w:r>
              <w:rPr>
                <w:rFonts w:ascii="Arial" w:hAnsi="Arial" w:cs="Arial"/>
                <w:sz w:val="20"/>
              </w:rPr>
              <w:t>23</w:t>
            </w:r>
            <w:r w:rsidR="002D23D2" w:rsidRPr="002D23D2">
              <w:rPr>
                <w:rFonts w:ascii="Arial" w:hAnsi="Arial" w:cs="Arial"/>
                <w:sz w:val="20"/>
              </w:rPr>
              <w:t>,</w:t>
            </w:r>
            <w:r>
              <w:rPr>
                <w:rFonts w:ascii="Arial" w:hAnsi="Arial" w:cs="Arial"/>
                <w:sz w:val="20"/>
              </w:rPr>
              <w:t>757</w:t>
            </w:r>
          </w:p>
        </w:tc>
        <w:tc>
          <w:tcPr>
            <w:tcW w:w="1039" w:type="dxa"/>
            <w:vAlign w:val="center"/>
          </w:tcPr>
          <w:p w:rsidR="002D23D2" w:rsidRPr="002D23D2" w:rsidRDefault="002D23D2" w:rsidP="002D23D2">
            <w:pPr>
              <w:spacing w:line="360" w:lineRule="auto"/>
              <w:jc w:val="center"/>
              <w:rPr>
                <w:rFonts w:ascii="Arial" w:hAnsi="Arial" w:cs="Arial"/>
                <w:sz w:val="20"/>
              </w:rPr>
            </w:pPr>
            <w:r w:rsidRPr="002D23D2">
              <w:rPr>
                <w:rFonts w:ascii="Arial" w:hAnsi="Arial" w:cs="Arial"/>
                <w:sz w:val="20"/>
              </w:rPr>
              <w:t>45,118</w:t>
            </w:r>
          </w:p>
        </w:tc>
        <w:tc>
          <w:tcPr>
            <w:tcW w:w="1039" w:type="dxa"/>
            <w:vAlign w:val="center"/>
          </w:tcPr>
          <w:p w:rsidR="002D23D2" w:rsidRPr="002D23D2" w:rsidRDefault="002D23D2" w:rsidP="002D23D2">
            <w:pPr>
              <w:spacing w:line="360" w:lineRule="auto"/>
              <w:jc w:val="center"/>
              <w:rPr>
                <w:rFonts w:ascii="Arial" w:hAnsi="Arial" w:cs="Arial"/>
                <w:sz w:val="20"/>
              </w:rPr>
            </w:pPr>
            <w:r w:rsidRPr="002D23D2">
              <w:rPr>
                <w:rFonts w:ascii="Arial" w:hAnsi="Arial" w:cs="Arial"/>
                <w:sz w:val="20"/>
              </w:rPr>
              <w:t>5.81%</w:t>
            </w:r>
          </w:p>
        </w:tc>
        <w:tc>
          <w:tcPr>
            <w:tcW w:w="1039" w:type="dxa"/>
            <w:vAlign w:val="center"/>
          </w:tcPr>
          <w:p w:rsidR="002D23D2" w:rsidRPr="002D23D2" w:rsidRDefault="002D23D2" w:rsidP="002D23D2">
            <w:pPr>
              <w:spacing w:line="360" w:lineRule="auto"/>
              <w:jc w:val="center"/>
              <w:rPr>
                <w:rFonts w:ascii="Arial" w:hAnsi="Arial" w:cs="Arial"/>
                <w:sz w:val="20"/>
              </w:rPr>
            </w:pPr>
            <w:r w:rsidRPr="002D23D2">
              <w:rPr>
                <w:rFonts w:ascii="Arial" w:hAnsi="Arial" w:cs="Arial"/>
                <w:sz w:val="20"/>
              </w:rPr>
              <w:t>14,428</w:t>
            </w:r>
          </w:p>
        </w:tc>
        <w:tc>
          <w:tcPr>
            <w:tcW w:w="1061"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1.86%</w:t>
            </w:r>
          </w:p>
        </w:tc>
        <w:tc>
          <w:tcPr>
            <w:tcW w:w="1254"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68.0%</w:t>
            </w:r>
          </w:p>
        </w:tc>
      </w:tr>
      <w:tr w:rsidR="002D23D2" w:rsidTr="00826819">
        <w:tc>
          <w:tcPr>
            <w:tcW w:w="996" w:type="dxa"/>
            <w:vAlign w:val="center"/>
          </w:tcPr>
          <w:p w:rsidR="002D23D2" w:rsidRPr="002D23D2" w:rsidRDefault="002D23D2" w:rsidP="00F7514D">
            <w:pPr>
              <w:spacing w:line="360" w:lineRule="auto"/>
              <w:jc w:val="both"/>
              <w:rPr>
                <w:rFonts w:ascii="Arial" w:hAnsi="Arial" w:cs="Arial"/>
                <w:sz w:val="20"/>
              </w:rPr>
            </w:pPr>
            <w:r>
              <w:rPr>
                <w:rFonts w:ascii="Arial" w:hAnsi="Arial" w:cs="Arial"/>
                <w:sz w:val="20"/>
              </w:rPr>
              <w:t>North East</w:t>
            </w:r>
          </w:p>
        </w:tc>
        <w:tc>
          <w:tcPr>
            <w:tcW w:w="806"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1</w:t>
            </w:r>
          </w:p>
        </w:tc>
        <w:tc>
          <w:tcPr>
            <w:tcW w:w="1061"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25,097</w:t>
            </w:r>
          </w:p>
        </w:tc>
        <w:tc>
          <w:tcPr>
            <w:tcW w:w="1061"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16,438</w:t>
            </w:r>
          </w:p>
        </w:tc>
        <w:tc>
          <w:tcPr>
            <w:tcW w:w="1039"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41,535</w:t>
            </w:r>
          </w:p>
        </w:tc>
        <w:tc>
          <w:tcPr>
            <w:tcW w:w="1039" w:type="dxa"/>
            <w:vAlign w:val="center"/>
          </w:tcPr>
          <w:p w:rsidR="002D23D2" w:rsidRPr="002D23D2" w:rsidRDefault="00210E22" w:rsidP="002D23D2">
            <w:pPr>
              <w:spacing w:line="360" w:lineRule="auto"/>
              <w:jc w:val="center"/>
              <w:rPr>
                <w:rFonts w:ascii="Arial" w:hAnsi="Arial" w:cs="Arial"/>
                <w:sz w:val="20"/>
              </w:rPr>
            </w:pPr>
            <w:r>
              <w:rPr>
                <w:rFonts w:ascii="Arial" w:hAnsi="Arial" w:cs="Arial"/>
                <w:sz w:val="20"/>
              </w:rPr>
              <w:t>6.41</w:t>
            </w:r>
            <w:r w:rsidR="002D23D2">
              <w:rPr>
                <w:rFonts w:ascii="Arial" w:hAnsi="Arial" w:cs="Arial"/>
                <w:sz w:val="20"/>
              </w:rPr>
              <w:t>%</w:t>
            </w:r>
          </w:p>
        </w:tc>
        <w:tc>
          <w:tcPr>
            <w:tcW w:w="1039"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16,438</w:t>
            </w:r>
          </w:p>
        </w:tc>
        <w:tc>
          <w:tcPr>
            <w:tcW w:w="1061" w:type="dxa"/>
            <w:vAlign w:val="center"/>
          </w:tcPr>
          <w:p w:rsidR="002D23D2" w:rsidRPr="002D23D2" w:rsidRDefault="002D23D2" w:rsidP="00210E22">
            <w:pPr>
              <w:spacing w:line="360" w:lineRule="auto"/>
              <w:jc w:val="center"/>
              <w:rPr>
                <w:rFonts w:ascii="Arial" w:hAnsi="Arial" w:cs="Arial"/>
                <w:sz w:val="20"/>
              </w:rPr>
            </w:pPr>
            <w:r>
              <w:rPr>
                <w:rFonts w:ascii="Arial" w:hAnsi="Arial" w:cs="Arial"/>
                <w:sz w:val="20"/>
              </w:rPr>
              <w:t>2.</w:t>
            </w:r>
            <w:r w:rsidR="00210E22">
              <w:rPr>
                <w:rFonts w:ascii="Arial" w:hAnsi="Arial" w:cs="Arial"/>
                <w:sz w:val="20"/>
              </w:rPr>
              <w:t>54</w:t>
            </w:r>
            <w:r>
              <w:rPr>
                <w:rFonts w:ascii="Arial" w:hAnsi="Arial" w:cs="Arial"/>
                <w:sz w:val="20"/>
              </w:rPr>
              <w:t>%</w:t>
            </w:r>
          </w:p>
        </w:tc>
        <w:tc>
          <w:tcPr>
            <w:tcW w:w="1254"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60.4%</w:t>
            </w:r>
          </w:p>
        </w:tc>
      </w:tr>
      <w:tr w:rsidR="002D23D2" w:rsidTr="00826819">
        <w:tc>
          <w:tcPr>
            <w:tcW w:w="996" w:type="dxa"/>
            <w:vAlign w:val="center"/>
          </w:tcPr>
          <w:p w:rsidR="002D23D2" w:rsidRPr="002D23D2" w:rsidRDefault="002D23D2" w:rsidP="00F7514D">
            <w:pPr>
              <w:spacing w:line="360" w:lineRule="auto"/>
              <w:jc w:val="both"/>
              <w:rPr>
                <w:rFonts w:ascii="Arial" w:hAnsi="Arial" w:cs="Arial"/>
                <w:sz w:val="20"/>
              </w:rPr>
            </w:pPr>
            <w:r>
              <w:rPr>
                <w:rFonts w:ascii="Arial" w:hAnsi="Arial" w:cs="Arial"/>
                <w:sz w:val="20"/>
              </w:rPr>
              <w:t>Dublin South</w:t>
            </w:r>
          </w:p>
        </w:tc>
        <w:tc>
          <w:tcPr>
            <w:tcW w:w="806"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3</w:t>
            </w:r>
          </w:p>
        </w:tc>
        <w:tc>
          <w:tcPr>
            <w:tcW w:w="1061" w:type="dxa"/>
            <w:vAlign w:val="center"/>
          </w:tcPr>
          <w:p w:rsidR="002D23D2" w:rsidRPr="002D23D2" w:rsidRDefault="002D23D2" w:rsidP="002D23D2">
            <w:pPr>
              <w:spacing w:line="360" w:lineRule="auto"/>
              <w:jc w:val="center"/>
              <w:rPr>
                <w:rFonts w:ascii="Arial" w:hAnsi="Arial" w:cs="Arial"/>
                <w:sz w:val="20"/>
              </w:rPr>
            </w:pPr>
            <w:r>
              <w:rPr>
                <w:rFonts w:ascii="Arial" w:hAnsi="Arial" w:cs="Arial"/>
                <w:sz w:val="20"/>
              </w:rPr>
              <w:t>8,521</w:t>
            </w:r>
          </w:p>
        </w:tc>
        <w:tc>
          <w:tcPr>
            <w:tcW w:w="1061"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2,211</w:t>
            </w:r>
          </w:p>
        </w:tc>
        <w:tc>
          <w:tcPr>
            <w:tcW w:w="1039"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10,732</w:t>
            </w:r>
          </w:p>
        </w:tc>
        <w:tc>
          <w:tcPr>
            <w:tcW w:w="1039" w:type="dxa"/>
            <w:vAlign w:val="center"/>
          </w:tcPr>
          <w:p w:rsidR="002D23D2" w:rsidRPr="002D23D2" w:rsidRDefault="00524E4B" w:rsidP="00210E22">
            <w:pPr>
              <w:spacing w:line="360" w:lineRule="auto"/>
              <w:jc w:val="center"/>
              <w:rPr>
                <w:rFonts w:ascii="Arial" w:hAnsi="Arial" w:cs="Arial"/>
                <w:sz w:val="20"/>
              </w:rPr>
            </w:pPr>
            <w:r>
              <w:rPr>
                <w:rFonts w:ascii="Arial" w:hAnsi="Arial" w:cs="Arial"/>
                <w:sz w:val="20"/>
              </w:rPr>
              <w:t>1.38%</w:t>
            </w:r>
          </w:p>
        </w:tc>
        <w:tc>
          <w:tcPr>
            <w:tcW w:w="1039"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2,211</w:t>
            </w:r>
          </w:p>
        </w:tc>
        <w:tc>
          <w:tcPr>
            <w:tcW w:w="1061"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0.28%</w:t>
            </w:r>
          </w:p>
        </w:tc>
        <w:tc>
          <w:tcPr>
            <w:tcW w:w="1254"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79.4%</w:t>
            </w:r>
          </w:p>
        </w:tc>
      </w:tr>
      <w:tr w:rsidR="002D23D2" w:rsidTr="00826819">
        <w:tc>
          <w:tcPr>
            <w:tcW w:w="996" w:type="dxa"/>
            <w:vAlign w:val="center"/>
          </w:tcPr>
          <w:p w:rsidR="002D23D2" w:rsidRPr="002D23D2" w:rsidRDefault="00524E4B" w:rsidP="00F7514D">
            <w:pPr>
              <w:spacing w:line="360" w:lineRule="auto"/>
              <w:jc w:val="both"/>
              <w:rPr>
                <w:rFonts w:ascii="Arial" w:hAnsi="Arial" w:cs="Arial"/>
                <w:sz w:val="20"/>
              </w:rPr>
            </w:pPr>
            <w:r>
              <w:rPr>
                <w:rFonts w:ascii="Arial" w:hAnsi="Arial" w:cs="Arial"/>
                <w:sz w:val="20"/>
              </w:rPr>
              <w:t>South West</w:t>
            </w:r>
          </w:p>
        </w:tc>
        <w:tc>
          <w:tcPr>
            <w:tcW w:w="806"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1</w:t>
            </w:r>
          </w:p>
        </w:tc>
        <w:tc>
          <w:tcPr>
            <w:tcW w:w="1061"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4,674</w:t>
            </w:r>
          </w:p>
        </w:tc>
        <w:tc>
          <w:tcPr>
            <w:tcW w:w="1061"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0</w:t>
            </w:r>
          </w:p>
        </w:tc>
        <w:tc>
          <w:tcPr>
            <w:tcW w:w="1039"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4,674</w:t>
            </w:r>
          </w:p>
        </w:tc>
        <w:tc>
          <w:tcPr>
            <w:tcW w:w="1039" w:type="dxa"/>
            <w:vAlign w:val="center"/>
          </w:tcPr>
          <w:p w:rsidR="002D23D2" w:rsidRPr="002D23D2" w:rsidRDefault="00210E22" w:rsidP="002D23D2">
            <w:pPr>
              <w:spacing w:line="360" w:lineRule="auto"/>
              <w:jc w:val="center"/>
              <w:rPr>
                <w:rFonts w:ascii="Arial" w:hAnsi="Arial" w:cs="Arial"/>
                <w:sz w:val="20"/>
              </w:rPr>
            </w:pPr>
            <w:r>
              <w:rPr>
                <w:rFonts w:ascii="Arial" w:hAnsi="Arial" w:cs="Arial"/>
                <w:sz w:val="20"/>
              </w:rPr>
              <w:t>0.96</w:t>
            </w:r>
            <w:r w:rsidR="00524E4B">
              <w:rPr>
                <w:rFonts w:ascii="Arial" w:hAnsi="Arial" w:cs="Arial"/>
                <w:sz w:val="20"/>
              </w:rPr>
              <w:t>%</w:t>
            </w:r>
          </w:p>
        </w:tc>
        <w:tc>
          <w:tcPr>
            <w:tcW w:w="1039"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6,023</w:t>
            </w:r>
          </w:p>
        </w:tc>
        <w:tc>
          <w:tcPr>
            <w:tcW w:w="1061" w:type="dxa"/>
            <w:vAlign w:val="center"/>
          </w:tcPr>
          <w:p w:rsidR="002D23D2" w:rsidRPr="002D23D2" w:rsidRDefault="00210E22" w:rsidP="002D23D2">
            <w:pPr>
              <w:spacing w:line="360" w:lineRule="auto"/>
              <w:jc w:val="center"/>
              <w:rPr>
                <w:rFonts w:ascii="Arial" w:hAnsi="Arial" w:cs="Arial"/>
                <w:sz w:val="20"/>
              </w:rPr>
            </w:pPr>
            <w:r>
              <w:rPr>
                <w:rFonts w:ascii="Arial" w:hAnsi="Arial" w:cs="Arial"/>
                <w:sz w:val="20"/>
              </w:rPr>
              <w:t>1.23</w:t>
            </w:r>
            <w:r w:rsidR="00524E4B">
              <w:rPr>
                <w:rFonts w:ascii="Arial" w:hAnsi="Arial" w:cs="Arial"/>
                <w:sz w:val="20"/>
              </w:rPr>
              <w:t>%</w:t>
            </w:r>
          </w:p>
        </w:tc>
        <w:tc>
          <w:tcPr>
            <w:tcW w:w="1254" w:type="dxa"/>
            <w:vAlign w:val="center"/>
          </w:tcPr>
          <w:p w:rsidR="002D23D2" w:rsidRPr="002D23D2" w:rsidRDefault="00524E4B" w:rsidP="002D23D2">
            <w:pPr>
              <w:spacing w:line="360" w:lineRule="auto"/>
              <w:jc w:val="center"/>
              <w:rPr>
                <w:rFonts w:ascii="Arial" w:hAnsi="Arial" w:cs="Arial"/>
                <w:sz w:val="20"/>
              </w:rPr>
            </w:pPr>
            <w:r>
              <w:rPr>
                <w:rFonts w:ascii="Arial" w:hAnsi="Arial" w:cs="Arial"/>
                <w:sz w:val="20"/>
              </w:rPr>
              <w:t>-28.9%</w:t>
            </w:r>
          </w:p>
        </w:tc>
      </w:tr>
      <w:tr w:rsidR="00524E4B" w:rsidTr="00826819">
        <w:tc>
          <w:tcPr>
            <w:tcW w:w="996" w:type="dxa"/>
            <w:vAlign w:val="center"/>
          </w:tcPr>
          <w:p w:rsidR="00524E4B" w:rsidRDefault="00524E4B" w:rsidP="00F7514D">
            <w:pPr>
              <w:spacing w:line="360" w:lineRule="auto"/>
              <w:jc w:val="both"/>
              <w:rPr>
                <w:rFonts w:ascii="Arial" w:hAnsi="Arial" w:cs="Arial"/>
                <w:sz w:val="20"/>
              </w:rPr>
            </w:pPr>
            <w:r>
              <w:rPr>
                <w:rFonts w:ascii="Arial" w:hAnsi="Arial" w:cs="Arial"/>
                <w:sz w:val="20"/>
              </w:rPr>
              <w:t>Dublin North</w:t>
            </w:r>
          </w:p>
        </w:tc>
        <w:tc>
          <w:tcPr>
            <w:tcW w:w="806" w:type="dxa"/>
            <w:vAlign w:val="center"/>
          </w:tcPr>
          <w:p w:rsidR="00524E4B" w:rsidRDefault="00C9086D" w:rsidP="002D23D2">
            <w:pPr>
              <w:spacing w:line="360" w:lineRule="auto"/>
              <w:jc w:val="center"/>
              <w:rPr>
                <w:rFonts w:ascii="Arial" w:hAnsi="Arial" w:cs="Arial"/>
                <w:sz w:val="20"/>
              </w:rPr>
            </w:pPr>
            <w:r>
              <w:rPr>
                <w:rFonts w:ascii="Arial" w:hAnsi="Arial" w:cs="Arial"/>
                <w:sz w:val="20"/>
              </w:rPr>
              <w:t>4</w:t>
            </w:r>
          </w:p>
        </w:tc>
        <w:tc>
          <w:tcPr>
            <w:tcW w:w="1061" w:type="dxa"/>
            <w:vAlign w:val="center"/>
          </w:tcPr>
          <w:p w:rsidR="00524E4B" w:rsidRDefault="00210E22" w:rsidP="002D23D2">
            <w:pPr>
              <w:spacing w:line="360" w:lineRule="auto"/>
              <w:jc w:val="center"/>
              <w:rPr>
                <w:rFonts w:ascii="Arial" w:hAnsi="Arial" w:cs="Arial"/>
                <w:sz w:val="20"/>
              </w:rPr>
            </w:pPr>
            <w:r>
              <w:rPr>
                <w:rFonts w:ascii="Arial" w:hAnsi="Arial" w:cs="Arial"/>
                <w:sz w:val="20"/>
              </w:rPr>
              <w:t>56,747</w:t>
            </w:r>
          </w:p>
        </w:tc>
        <w:tc>
          <w:tcPr>
            <w:tcW w:w="1061" w:type="dxa"/>
            <w:vAlign w:val="center"/>
          </w:tcPr>
          <w:p w:rsidR="00524E4B" w:rsidRDefault="00210E22" w:rsidP="002D23D2">
            <w:pPr>
              <w:spacing w:line="360" w:lineRule="auto"/>
              <w:jc w:val="center"/>
              <w:rPr>
                <w:rFonts w:ascii="Arial" w:hAnsi="Arial" w:cs="Arial"/>
                <w:sz w:val="20"/>
              </w:rPr>
            </w:pPr>
            <w:r>
              <w:rPr>
                <w:rFonts w:ascii="Arial" w:hAnsi="Arial" w:cs="Arial"/>
                <w:sz w:val="20"/>
              </w:rPr>
              <w:t>0</w:t>
            </w:r>
          </w:p>
        </w:tc>
        <w:tc>
          <w:tcPr>
            <w:tcW w:w="1039" w:type="dxa"/>
            <w:vAlign w:val="center"/>
          </w:tcPr>
          <w:p w:rsidR="00524E4B" w:rsidRDefault="00210E22" w:rsidP="002D23D2">
            <w:pPr>
              <w:spacing w:line="360" w:lineRule="auto"/>
              <w:jc w:val="center"/>
              <w:rPr>
                <w:rFonts w:ascii="Arial" w:hAnsi="Arial" w:cs="Arial"/>
                <w:sz w:val="20"/>
              </w:rPr>
            </w:pPr>
            <w:r>
              <w:rPr>
                <w:rFonts w:ascii="Arial" w:hAnsi="Arial" w:cs="Arial"/>
                <w:sz w:val="20"/>
              </w:rPr>
              <w:t>56,747</w:t>
            </w:r>
          </w:p>
        </w:tc>
        <w:tc>
          <w:tcPr>
            <w:tcW w:w="1039" w:type="dxa"/>
            <w:vAlign w:val="center"/>
          </w:tcPr>
          <w:p w:rsidR="00524E4B" w:rsidRDefault="00210E22" w:rsidP="002D23D2">
            <w:pPr>
              <w:spacing w:line="360" w:lineRule="auto"/>
              <w:jc w:val="center"/>
              <w:rPr>
                <w:rFonts w:ascii="Arial" w:hAnsi="Arial" w:cs="Arial"/>
                <w:sz w:val="20"/>
              </w:rPr>
            </w:pPr>
            <w:r>
              <w:rPr>
                <w:rFonts w:ascii="Arial" w:hAnsi="Arial" w:cs="Arial"/>
                <w:sz w:val="20"/>
              </w:rPr>
              <w:t>8.41%</w:t>
            </w:r>
          </w:p>
        </w:tc>
        <w:tc>
          <w:tcPr>
            <w:tcW w:w="1039" w:type="dxa"/>
            <w:vAlign w:val="center"/>
          </w:tcPr>
          <w:p w:rsidR="00524E4B" w:rsidRDefault="00210E22" w:rsidP="002D23D2">
            <w:pPr>
              <w:spacing w:line="360" w:lineRule="auto"/>
              <w:jc w:val="center"/>
              <w:rPr>
                <w:rFonts w:ascii="Arial" w:hAnsi="Arial" w:cs="Arial"/>
                <w:sz w:val="20"/>
              </w:rPr>
            </w:pPr>
            <w:r>
              <w:rPr>
                <w:rFonts w:ascii="Arial" w:hAnsi="Arial" w:cs="Arial"/>
                <w:sz w:val="20"/>
              </w:rPr>
              <w:t>0</w:t>
            </w:r>
          </w:p>
        </w:tc>
        <w:tc>
          <w:tcPr>
            <w:tcW w:w="1061" w:type="dxa"/>
            <w:vAlign w:val="center"/>
          </w:tcPr>
          <w:p w:rsidR="00524E4B" w:rsidRDefault="00210E22" w:rsidP="002D23D2">
            <w:pPr>
              <w:spacing w:line="360" w:lineRule="auto"/>
              <w:jc w:val="center"/>
              <w:rPr>
                <w:rFonts w:ascii="Arial" w:hAnsi="Arial" w:cs="Arial"/>
                <w:sz w:val="20"/>
              </w:rPr>
            </w:pPr>
            <w:r>
              <w:rPr>
                <w:rFonts w:ascii="Arial" w:hAnsi="Arial" w:cs="Arial"/>
                <w:sz w:val="20"/>
              </w:rPr>
              <w:t>0</w:t>
            </w:r>
          </w:p>
        </w:tc>
        <w:tc>
          <w:tcPr>
            <w:tcW w:w="1254" w:type="dxa"/>
            <w:vAlign w:val="center"/>
          </w:tcPr>
          <w:p w:rsidR="00524E4B" w:rsidRDefault="00210E22" w:rsidP="002D23D2">
            <w:pPr>
              <w:spacing w:line="360" w:lineRule="auto"/>
              <w:jc w:val="center"/>
              <w:rPr>
                <w:rFonts w:ascii="Arial" w:hAnsi="Arial" w:cs="Arial"/>
                <w:sz w:val="20"/>
              </w:rPr>
            </w:pPr>
            <w:r>
              <w:rPr>
                <w:rFonts w:ascii="Arial" w:hAnsi="Arial" w:cs="Arial"/>
                <w:sz w:val="20"/>
              </w:rPr>
              <w:t>100%</w:t>
            </w:r>
          </w:p>
        </w:tc>
      </w:tr>
      <w:tr w:rsidR="00121CD9" w:rsidTr="00826819">
        <w:tc>
          <w:tcPr>
            <w:tcW w:w="996" w:type="dxa"/>
            <w:vAlign w:val="center"/>
          </w:tcPr>
          <w:p w:rsidR="00121CD9" w:rsidRDefault="00C574A4" w:rsidP="00F7514D">
            <w:pPr>
              <w:spacing w:line="360" w:lineRule="auto"/>
              <w:jc w:val="both"/>
              <w:rPr>
                <w:rFonts w:ascii="Arial" w:hAnsi="Arial" w:cs="Arial"/>
                <w:sz w:val="20"/>
              </w:rPr>
            </w:pPr>
            <w:r>
              <w:rPr>
                <w:rFonts w:ascii="Arial" w:hAnsi="Arial" w:cs="Arial"/>
                <w:sz w:val="20"/>
              </w:rPr>
              <w:t xml:space="preserve">South East </w:t>
            </w:r>
          </w:p>
        </w:tc>
        <w:tc>
          <w:tcPr>
            <w:tcW w:w="806" w:type="dxa"/>
            <w:vAlign w:val="center"/>
          </w:tcPr>
          <w:p w:rsidR="00121CD9" w:rsidRDefault="00C574A4" w:rsidP="002D23D2">
            <w:pPr>
              <w:spacing w:line="360" w:lineRule="auto"/>
              <w:jc w:val="center"/>
              <w:rPr>
                <w:rFonts w:ascii="Arial" w:hAnsi="Arial" w:cs="Arial"/>
                <w:sz w:val="20"/>
              </w:rPr>
            </w:pPr>
            <w:r>
              <w:rPr>
                <w:rFonts w:ascii="Arial" w:hAnsi="Arial" w:cs="Arial"/>
                <w:sz w:val="20"/>
              </w:rPr>
              <w:t>4</w:t>
            </w:r>
          </w:p>
        </w:tc>
        <w:tc>
          <w:tcPr>
            <w:tcW w:w="1061" w:type="dxa"/>
            <w:vAlign w:val="center"/>
          </w:tcPr>
          <w:p w:rsidR="00121CD9" w:rsidRDefault="00121CD9" w:rsidP="002D23D2">
            <w:pPr>
              <w:spacing w:line="360" w:lineRule="auto"/>
              <w:jc w:val="center"/>
              <w:rPr>
                <w:rFonts w:ascii="Arial" w:hAnsi="Arial" w:cs="Arial"/>
                <w:sz w:val="20"/>
              </w:rPr>
            </w:pPr>
            <w:r>
              <w:rPr>
                <w:rFonts w:ascii="Arial" w:hAnsi="Arial" w:cs="Arial"/>
                <w:sz w:val="20"/>
              </w:rPr>
              <w:t>17,754</w:t>
            </w:r>
          </w:p>
        </w:tc>
        <w:tc>
          <w:tcPr>
            <w:tcW w:w="1061" w:type="dxa"/>
            <w:vAlign w:val="center"/>
          </w:tcPr>
          <w:p w:rsidR="00121CD9" w:rsidRDefault="00121CD9" w:rsidP="002D23D2">
            <w:pPr>
              <w:spacing w:line="360" w:lineRule="auto"/>
              <w:jc w:val="center"/>
              <w:rPr>
                <w:rFonts w:ascii="Arial" w:hAnsi="Arial" w:cs="Arial"/>
                <w:sz w:val="20"/>
              </w:rPr>
            </w:pPr>
            <w:r>
              <w:rPr>
                <w:rFonts w:ascii="Arial" w:hAnsi="Arial" w:cs="Arial"/>
                <w:sz w:val="20"/>
              </w:rPr>
              <w:t>0</w:t>
            </w:r>
          </w:p>
        </w:tc>
        <w:tc>
          <w:tcPr>
            <w:tcW w:w="1039" w:type="dxa"/>
            <w:vAlign w:val="center"/>
          </w:tcPr>
          <w:p w:rsidR="00121CD9" w:rsidRDefault="00121CD9" w:rsidP="002D23D2">
            <w:pPr>
              <w:spacing w:line="360" w:lineRule="auto"/>
              <w:jc w:val="center"/>
              <w:rPr>
                <w:rFonts w:ascii="Arial" w:hAnsi="Arial" w:cs="Arial"/>
                <w:sz w:val="20"/>
              </w:rPr>
            </w:pPr>
            <w:r>
              <w:rPr>
                <w:rFonts w:ascii="Arial" w:hAnsi="Arial" w:cs="Arial"/>
                <w:sz w:val="20"/>
              </w:rPr>
              <w:t>17,754</w:t>
            </w:r>
          </w:p>
        </w:tc>
        <w:tc>
          <w:tcPr>
            <w:tcW w:w="1039" w:type="dxa"/>
            <w:vAlign w:val="center"/>
          </w:tcPr>
          <w:p w:rsidR="00121CD9" w:rsidRDefault="00121CD9" w:rsidP="002D23D2">
            <w:pPr>
              <w:spacing w:line="360" w:lineRule="auto"/>
              <w:jc w:val="center"/>
              <w:rPr>
                <w:rFonts w:ascii="Arial" w:hAnsi="Arial" w:cs="Arial"/>
                <w:sz w:val="20"/>
              </w:rPr>
            </w:pPr>
            <w:r>
              <w:rPr>
                <w:rFonts w:ascii="Arial" w:hAnsi="Arial" w:cs="Arial"/>
                <w:sz w:val="20"/>
              </w:rPr>
              <w:t>1.48%</w:t>
            </w:r>
          </w:p>
        </w:tc>
        <w:tc>
          <w:tcPr>
            <w:tcW w:w="1039" w:type="dxa"/>
            <w:vAlign w:val="center"/>
          </w:tcPr>
          <w:p w:rsidR="00121CD9" w:rsidRDefault="00A07309" w:rsidP="00A07309">
            <w:pPr>
              <w:spacing w:line="360" w:lineRule="auto"/>
              <w:jc w:val="center"/>
              <w:rPr>
                <w:rFonts w:ascii="Arial" w:hAnsi="Arial" w:cs="Arial"/>
                <w:sz w:val="20"/>
              </w:rPr>
            </w:pPr>
            <w:r>
              <w:rPr>
                <w:rFonts w:ascii="Arial" w:hAnsi="Arial" w:cs="Arial"/>
                <w:sz w:val="20"/>
              </w:rPr>
              <w:t>20</w:t>
            </w:r>
            <w:r w:rsidR="00121CD9">
              <w:rPr>
                <w:rFonts w:ascii="Arial" w:hAnsi="Arial" w:cs="Arial"/>
                <w:sz w:val="20"/>
              </w:rPr>
              <w:t>,</w:t>
            </w:r>
            <w:r>
              <w:rPr>
                <w:rFonts w:ascii="Arial" w:hAnsi="Arial" w:cs="Arial"/>
                <w:sz w:val="20"/>
              </w:rPr>
              <w:t>444</w:t>
            </w:r>
          </w:p>
        </w:tc>
        <w:tc>
          <w:tcPr>
            <w:tcW w:w="1061" w:type="dxa"/>
            <w:vAlign w:val="center"/>
          </w:tcPr>
          <w:p w:rsidR="00121CD9" w:rsidRDefault="00C574A4" w:rsidP="00C574A4">
            <w:pPr>
              <w:spacing w:line="360" w:lineRule="auto"/>
              <w:jc w:val="center"/>
              <w:rPr>
                <w:rFonts w:ascii="Arial" w:hAnsi="Arial" w:cs="Arial"/>
                <w:sz w:val="20"/>
              </w:rPr>
            </w:pPr>
            <w:r>
              <w:rPr>
                <w:rFonts w:ascii="Arial" w:hAnsi="Arial" w:cs="Arial"/>
                <w:sz w:val="20"/>
              </w:rPr>
              <w:t>2.40%</w:t>
            </w:r>
          </w:p>
        </w:tc>
        <w:tc>
          <w:tcPr>
            <w:tcW w:w="1254" w:type="dxa"/>
            <w:vAlign w:val="center"/>
          </w:tcPr>
          <w:p w:rsidR="00121CD9" w:rsidRDefault="00C574A4" w:rsidP="00A35BBA">
            <w:pPr>
              <w:spacing w:line="360" w:lineRule="auto"/>
              <w:jc w:val="center"/>
              <w:rPr>
                <w:rFonts w:ascii="Arial" w:hAnsi="Arial" w:cs="Arial"/>
                <w:sz w:val="20"/>
              </w:rPr>
            </w:pPr>
            <w:r>
              <w:rPr>
                <w:rFonts w:ascii="Arial" w:hAnsi="Arial" w:cs="Arial"/>
                <w:sz w:val="20"/>
              </w:rPr>
              <w:t>-</w:t>
            </w:r>
            <w:r w:rsidR="00A35BBA">
              <w:rPr>
                <w:rFonts w:ascii="Arial" w:hAnsi="Arial" w:cs="Arial"/>
                <w:sz w:val="20"/>
              </w:rPr>
              <w:t>15</w:t>
            </w:r>
            <w:r>
              <w:rPr>
                <w:rFonts w:ascii="Arial" w:hAnsi="Arial" w:cs="Arial"/>
                <w:sz w:val="20"/>
              </w:rPr>
              <w:t>.</w:t>
            </w:r>
            <w:r w:rsidR="00A35BBA">
              <w:rPr>
                <w:rFonts w:ascii="Arial" w:hAnsi="Arial" w:cs="Arial"/>
                <w:sz w:val="20"/>
              </w:rPr>
              <w:t>1</w:t>
            </w:r>
            <w:r>
              <w:rPr>
                <w:rFonts w:ascii="Arial" w:hAnsi="Arial" w:cs="Arial"/>
                <w:sz w:val="20"/>
              </w:rPr>
              <w:t>5%</w:t>
            </w:r>
            <w:r w:rsidR="00121CD9">
              <w:rPr>
                <w:rFonts w:ascii="Arial" w:hAnsi="Arial" w:cs="Arial"/>
                <w:sz w:val="20"/>
              </w:rPr>
              <w:t xml:space="preserve"> </w:t>
            </w:r>
          </w:p>
        </w:tc>
      </w:tr>
      <w:tr w:rsidR="00563BE3" w:rsidTr="00826819">
        <w:tc>
          <w:tcPr>
            <w:tcW w:w="996" w:type="dxa"/>
            <w:vAlign w:val="center"/>
          </w:tcPr>
          <w:p w:rsidR="00563BE3" w:rsidRDefault="00563BE3" w:rsidP="00F7514D">
            <w:pPr>
              <w:spacing w:line="360" w:lineRule="auto"/>
              <w:jc w:val="both"/>
              <w:rPr>
                <w:rFonts w:ascii="Arial" w:hAnsi="Arial" w:cs="Arial"/>
                <w:sz w:val="20"/>
              </w:rPr>
            </w:pPr>
            <w:r>
              <w:rPr>
                <w:rFonts w:ascii="Arial" w:hAnsi="Arial" w:cs="Arial"/>
                <w:sz w:val="20"/>
              </w:rPr>
              <w:t xml:space="preserve">Cork </w:t>
            </w:r>
          </w:p>
        </w:tc>
        <w:tc>
          <w:tcPr>
            <w:tcW w:w="806" w:type="dxa"/>
            <w:vAlign w:val="center"/>
          </w:tcPr>
          <w:p w:rsidR="00563BE3" w:rsidRDefault="00563BE3" w:rsidP="002D23D2">
            <w:pPr>
              <w:spacing w:line="360" w:lineRule="auto"/>
              <w:jc w:val="center"/>
              <w:rPr>
                <w:rFonts w:ascii="Arial" w:hAnsi="Arial" w:cs="Arial"/>
                <w:sz w:val="20"/>
              </w:rPr>
            </w:pPr>
          </w:p>
        </w:tc>
        <w:tc>
          <w:tcPr>
            <w:tcW w:w="1061" w:type="dxa"/>
            <w:vAlign w:val="center"/>
          </w:tcPr>
          <w:p w:rsidR="00563BE3" w:rsidRDefault="00563BE3" w:rsidP="002D23D2">
            <w:pPr>
              <w:spacing w:line="360" w:lineRule="auto"/>
              <w:jc w:val="center"/>
              <w:rPr>
                <w:rFonts w:ascii="Arial" w:hAnsi="Arial" w:cs="Arial"/>
                <w:sz w:val="20"/>
              </w:rPr>
            </w:pPr>
          </w:p>
        </w:tc>
        <w:tc>
          <w:tcPr>
            <w:tcW w:w="1061" w:type="dxa"/>
            <w:vAlign w:val="center"/>
          </w:tcPr>
          <w:p w:rsidR="00563BE3" w:rsidRDefault="00563BE3" w:rsidP="002D23D2">
            <w:pPr>
              <w:spacing w:line="360" w:lineRule="auto"/>
              <w:jc w:val="center"/>
              <w:rPr>
                <w:rFonts w:ascii="Arial" w:hAnsi="Arial" w:cs="Arial"/>
                <w:sz w:val="20"/>
              </w:rPr>
            </w:pPr>
          </w:p>
        </w:tc>
        <w:tc>
          <w:tcPr>
            <w:tcW w:w="1039" w:type="dxa"/>
            <w:vAlign w:val="center"/>
          </w:tcPr>
          <w:p w:rsidR="00563BE3" w:rsidRDefault="00563BE3" w:rsidP="002D23D2">
            <w:pPr>
              <w:spacing w:line="360" w:lineRule="auto"/>
              <w:jc w:val="center"/>
              <w:rPr>
                <w:rFonts w:ascii="Arial" w:hAnsi="Arial" w:cs="Arial"/>
                <w:sz w:val="20"/>
              </w:rPr>
            </w:pPr>
          </w:p>
        </w:tc>
        <w:tc>
          <w:tcPr>
            <w:tcW w:w="1039" w:type="dxa"/>
            <w:vAlign w:val="center"/>
          </w:tcPr>
          <w:p w:rsidR="00563BE3" w:rsidRDefault="00563BE3" w:rsidP="002D23D2">
            <w:pPr>
              <w:spacing w:line="360" w:lineRule="auto"/>
              <w:jc w:val="center"/>
              <w:rPr>
                <w:rFonts w:ascii="Arial" w:hAnsi="Arial" w:cs="Arial"/>
                <w:sz w:val="20"/>
              </w:rPr>
            </w:pPr>
          </w:p>
        </w:tc>
        <w:tc>
          <w:tcPr>
            <w:tcW w:w="1039" w:type="dxa"/>
            <w:vAlign w:val="center"/>
          </w:tcPr>
          <w:p w:rsidR="00563BE3" w:rsidRDefault="00563BE3" w:rsidP="002D23D2">
            <w:pPr>
              <w:spacing w:line="360" w:lineRule="auto"/>
              <w:jc w:val="center"/>
              <w:rPr>
                <w:rFonts w:ascii="Arial" w:hAnsi="Arial" w:cs="Arial"/>
                <w:sz w:val="20"/>
              </w:rPr>
            </w:pPr>
          </w:p>
        </w:tc>
        <w:tc>
          <w:tcPr>
            <w:tcW w:w="1061" w:type="dxa"/>
            <w:vAlign w:val="center"/>
          </w:tcPr>
          <w:p w:rsidR="00563BE3" w:rsidRDefault="00563BE3" w:rsidP="002D23D2">
            <w:pPr>
              <w:spacing w:line="360" w:lineRule="auto"/>
              <w:jc w:val="center"/>
              <w:rPr>
                <w:rFonts w:ascii="Arial" w:hAnsi="Arial" w:cs="Arial"/>
                <w:sz w:val="20"/>
              </w:rPr>
            </w:pPr>
          </w:p>
        </w:tc>
        <w:tc>
          <w:tcPr>
            <w:tcW w:w="1254" w:type="dxa"/>
            <w:vAlign w:val="center"/>
          </w:tcPr>
          <w:p w:rsidR="00563BE3" w:rsidRDefault="00563BE3" w:rsidP="002D23D2">
            <w:pPr>
              <w:spacing w:line="360" w:lineRule="auto"/>
              <w:jc w:val="center"/>
              <w:rPr>
                <w:rFonts w:ascii="Arial" w:hAnsi="Arial" w:cs="Arial"/>
                <w:sz w:val="20"/>
              </w:rPr>
            </w:pPr>
          </w:p>
        </w:tc>
      </w:tr>
    </w:tbl>
    <w:p w:rsidR="00D20BD4" w:rsidRDefault="00D20BD4" w:rsidP="00F7514D">
      <w:pPr>
        <w:spacing w:after="0" w:line="360" w:lineRule="auto"/>
        <w:jc w:val="both"/>
        <w:rPr>
          <w:rFonts w:ascii="Arial" w:hAnsi="Arial" w:cs="Arial"/>
          <w:sz w:val="24"/>
        </w:rPr>
      </w:pPr>
    </w:p>
    <w:p w:rsidR="008627F8" w:rsidRDefault="00524E4B" w:rsidP="00F7514D">
      <w:pPr>
        <w:spacing w:after="0" w:line="360" w:lineRule="auto"/>
        <w:jc w:val="both"/>
        <w:rPr>
          <w:rFonts w:ascii="Arial" w:hAnsi="Arial" w:cs="Arial"/>
          <w:sz w:val="24"/>
        </w:rPr>
      </w:pPr>
      <w:r>
        <w:rPr>
          <w:rFonts w:ascii="Arial" w:hAnsi="Arial" w:cs="Arial"/>
          <w:sz w:val="24"/>
        </w:rPr>
        <w:t xml:space="preserve">It can be seen in Table 2 above, that there are considerable reductions in the county boundary breaches </w:t>
      </w:r>
      <w:r w:rsidR="00C33DF3">
        <w:rPr>
          <w:rFonts w:ascii="Arial" w:hAnsi="Arial" w:cs="Arial"/>
          <w:sz w:val="24"/>
        </w:rPr>
        <w:t xml:space="preserve">from the current constituency configurations </w:t>
      </w:r>
      <w:r>
        <w:rPr>
          <w:rFonts w:ascii="Arial" w:hAnsi="Arial" w:cs="Arial"/>
          <w:sz w:val="24"/>
        </w:rPr>
        <w:t xml:space="preserve">in the preferred options </w:t>
      </w:r>
      <w:r w:rsidR="008627F8">
        <w:rPr>
          <w:rFonts w:ascii="Arial" w:hAnsi="Arial" w:cs="Arial"/>
          <w:sz w:val="24"/>
        </w:rPr>
        <w:t xml:space="preserve">in four of the regions considered </w:t>
      </w:r>
      <w:r>
        <w:rPr>
          <w:rFonts w:ascii="Arial" w:hAnsi="Arial" w:cs="Arial"/>
          <w:sz w:val="24"/>
        </w:rPr>
        <w:t xml:space="preserve">to date.  These range from 60.4% in the north-east to 79.4% in the Dublin South region.  </w:t>
      </w:r>
    </w:p>
    <w:p w:rsidR="008627F8" w:rsidRDefault="008627F8" w:rsidP="00F7514D">
      <w:pPr>
        <w:spacing w:after="0" w:line="360" w:lineRule="auto"/>
        <w:jc w:val="both"/>
        <w:rPr>
          <w:rFonts w:ascii="Arial" w:hAnsi="Arial" w:cs="Arial"/>
          <w:sz w:val="24"/>
        </w:rPr>
      </w:pPr>
    </w:p>
    <w:p w:rsidR="00D20BD4" w:rsidRDefault="00524E4B" w:rsidP="00F7514D">
      <w:pPr>
        <w:spacing w:after="0" w:line="360" w:lineRule="auto"/>
        <w:jc w:val="both"/>
        <w:rPr>
          <w:rFonts w:ascii="Arial" w:hAnsi="Arial" w:cs="Arial"/>
          <w:sz w:val="24"/>
        </w:rPr>
      </w:pPr>
      <w:r>
        <w:rPr>
          <w:rFonts w:ascii="Arial" w:hAnsi="Arial" w:cs="Arial"/>
          <w:sz w:val="24"/>
        </w:rPr>
        <w:t xml:space="preserve">However, it may be noted that there is a 28.9% increase in the </w:t>
      </w:r>
      <w:r w:rsidR="003511F7">
        <w:rPr>
          <w:rFonts w:ascii="Arial" w:hAnsi="Arial" w:cs="Arial"/>
          <w:sz w:val="24"/>
        </w:rPr>
        <w:t xml:space="preserve">population in a boundary breach in the south-west region. This arises from the return of the </w:t>
      </w:r>
      <w:proofErr w:type="spellStart"/>
      <w:r w:rsidR="003511F7">
        <w:rPr>
          <w:rFonts w:ascii="Arial" w:hAnsi="Arial" w:cs="Arial"/>
          <w:sz w:val="24"/>
        </w:rPr>
        <w:t>Birdhill</w:t>
      </w:r>
      <w:proofErr w:type="spellEnd"/>
      <w:r w:rsidR="003511F7">
        <w:rPr>
          <w:rFonts w:ascii="Arial" w:hAnsi="Arial" w:cs="Arial"/>
          <w:sz w:val="24"/>
        </w:rPr>
        <w:t xml:space="preserve"> and two other electoral divisions in the Limerick City constituency to a County </w:t>
      </w:r>
      <w:r w:rsidR="003511F7">
        <w:rPr>
          <w:rFonts w:ascii="Arial" w:hAnsi="Arial" w:cs="Arial"/>
          <w:sz w:val="24"/>
        </w:rPr>
        <w:lastRenderedPageBreak/>
        <w:t xml:space="preserve">Tipperary constituency, but this is more than offset by the </w:t>
      </w:r>
      <w:r w:rsidR="008627F8">
        <w:rPr>
          <w:rFonts w:ascii="Arial" w:hAnsi="Arial" w:cs="Arial"/>
          <w:sz w:val="24"/>
        </w:rPr>
        <w:t>transfer</w:t>
      </w:r>
      <w:r w:rsidR="003511F7">
        <w:rPr>
          <w:rFonts w:ascii="Arial" w:hAnsi="Arial" w:cs="Arial"/>
          <w:sz w:val="24"/>
        </w:rPr>
        <w:t xml:space="preserve"> of the </w:t>
      </w:r>
      <w:proofErr w:type="spellStart"/>
      <w:r w:rsidR="003511F7">
        <w:rPr>
          <w:rFonts w:ascii="Arial" w:hAnsi="Arial" w:cs="Arial"/>
          <w:sz w:val="24"/>
        </w:rPr>
        <w:t>Ballyglass</w:t>
      </w:r>
      <w:proofErr w:type="spellEnd"/>
      <w:r w:rsidR="003511F7">
        <w:rPr>
          <w:rFonts w:ascii="Arial" w:hAnsi="Arial" w:cs="Arial"/>
          <w:sz w:val="24"/>
        </w:rPr>
        <w:t xml:space="preserve"> electoral division from County Clare in</w:t>
      </w:r>
      <w:r w:rsidR="008627F8">
        <w:rPr>
          <w:rFonts w:ascii="Arial" w:hAnsi="Arial" w:cs="Arial"/>
          <w:sz w:val="24"/>
        </w:rPr>
        <w:t>to</w:t>
      </w:r>
      <w:r w:rsidR="003511F7">
        <w:rPr>
          <w:rFonts w:ascii="Arial" w:hAnsi="Arial" w:cs="Arial"/>
          <w:sz w:val="24"/>
        </w:rPr>
        <w:t xml:space="preserve"> the Limerick City constituency.  </w:t>
      </w:r>
    </w:p>
    <w:p w:rsidR="00D20BD4" w:rsidRDefault="00D20BD4" w:rsidP="00F7514D">
      <w:pPr>
        <w:spacing w:after="0" w:line="360" w:lineRule="auto"/>
        <w:jc w:val="both"/>
        <w:rPr>
          <w:rFonts w:ascii="Arial" w:hAnsi="Arial" w:cs="Arial"/>
          <w:sz w:val="24"/>
        </w:rPr>
      </w:pPr>
    </w:p>
    <w:p w:rsidR="00A35BBA" w:rsidRDefault="008627F8" w:rsidP="00F7514D">
      <w:pPr>
        <w:spacing w:after="0" w:line="360" w:lineRule="auto"/>
        <w:jc w:val="both"/>
        <w:rPr>
          <w:rFonts w:ascii="Arial" w:hAnsi="Arial" w:cs="Arial"/>
          <w:sz w:val="24"/>
        </w:rPr>
      </w:pPr>
      <w:r>
        <w:rPr>
          <w:rFonts w:ascii="Arial" w:hAnsi="Arial" w:cs="Arial"/>
          <w:sz w:val="24"/>
        </w:rPr>
        <w:t xml:space="preserve">In the case of the south-east region, existing breaches are all removed, but depending on how a breach is defined, </w:t>
      </w:r>
      <w:r w:rsidR="00C574A4">
        <w:rPr>
          <w:rFonts w:ascii="Arial" w:hAnsi="Arial" w:cs="Arial"/>
          <w:sz w:val="24"/>
        </w:rPr>
        <w:t xml:space="preserve">in Option 4, there would be </w:t>
      </w:r>
      <w:r w:rsidR="00A35BBA">
        <w:rPr>
          <w:rFonts w:ascii="Arial" w:hAnsi="Arial" w:cs="Arial"/>
          <w:sz w:val="24"/>
        </w:rPr>
        <w:t xml:space="preserve">a small increase in population in </w:t>
      </w:r>
      <w:r w:rsidR="00C574A4">
        <w:rPr>
          <w:rFonts w:ascii="Arial" w:hAnsi="Arial" w:cs="Arial"/>
          <w:sz w:val="24"/>
        </w:rPr>
        <w:t>breached areas</w:t>
      </w:r>
      <w:r w:rsidR="00A35BBA">
        <w:rPr>
          <w:rFonts w:ascii="Arial" w:hAnsi="Arial" w:cs="Arial"/>
          <w:sz w:val="24"/>
        </w:rPr>
        <w:t>, from 17,754 to 20,444</w:t>
      </w:r>
      <w:r w:rsidR="00C574A4">
        <w:rPr>
          <w:rFonts w:ascii="Arial" w:hAnsi="Arial" w:cs="Arial"/>
          <w:sz w:val="24"/>
        </w:rPr>
        <w:t xml:space="preserve">. </w:t>
      </w:r>
      <w:r w:rsidR="00A35BBA">
        <w:rPr>
          <w:rFonts w:ascii="Arial" w:hAnsi="Arial" w:cs="Arial"/>
          <w:sz w:val="24"/>
        </w:rPr>
        <w:t xml:space="preserve"> </w:t>
      </w:r>
    </w:p>
    <w:p w:rsidR="00A35BBA" w:rsidRDefault="00A35BBA" w:rsidP="00F7514D">
      <w:pPr>
        <w:spacing w:after="0" w:line="360" w:lineRule="auto"/>
        <w:jc w:val="both"/>
        <w:rPr>
          <w:rFonts w:ascii="Arial" w:hAnsi="Arial" w:cs="Arial"/>
          <w:sz w:val="24"/>
        </w:rPr>
      </w:pPr>
    </w:p>
    <w:p w:rsidR="0066068D" w:rsidRDefault="008627F8" w:rsidP="00F7514D">
      <w:pPr>
        <w:spacing w:after="0" w:line="360" w:lineRule="auto"/>
        <w:jc w:val="both"/>
        <w:rPr>
          <w:rFonts w:ascii="Arial" w:hAnsi="Arial" w:cs="Arial"/>
          <w:sz w:val="24"/>
        </w:rPr>
      </w:pPr>
      <w:r>
        <w:rPr>
          <w:rFonts w:ascii="Arial" w:hAnsi="Arial" w:cs="Arial"/>
          <w:sz w:val="24"/>
        </w:rPr>
        <w:t xml:space="preserve">A total population </w:t>
      </w:r>
      <w:r w:rsidRPr="00C9086D">
        <w:rPr>
          <w:rFonts w:ascii="Arial" w:hAnsi="Arial" w:cs="Arial"/>
          <w:sz w:val="24"/>
        </w:rPr>
        <w:t xml:space="preserve">of </w:t>
      </w:r>
      <w:r w:rsidR="00C574A4" w:rsidRPr="00C9086D">
        <w:rPr>
          <w:rFonts w:ascii="Arial" w:hAnsi="Arial" w:cs="Arial"/>
          <w:sz w:val="24"/>
        </w:rPr>
        <w:t>26</w:t>
      </w:r>
      <w:r w:rsidRPr="00C9086D">
        <w:rPr>
          <w:rFonts w:ascii="Arial" w:hAnsi="Arial" w:cs="Arial"/>
          <w:sz w:val="24"/>
        </w:rPr>
        <w:t>,</w:t>
      </w:r>
      <w:r w:rsidR="00C574A4" w:rsidRPr="00C9086D">
        <w:rPr>
          <w:rFonts w:ascii="Arial" w:hAnsi="Arial" w:cs="Arial"/>
          <w:sz w:val="24"/>
        </w:rPr>
        <w:t>551</w:t>
      </w:r>
      <w:r>
        <w:rPr>
          <w:rFonts w:ascii="Arial" w:hAnsi="Arial" w:cs="Arial"/>
          <w:sz w:val="24"/>
        </w:rPr>
        <w:t xml:space="preserve"> is transferred from the north of County Wexford, along with some 65,576 of population from </w:t>
      </w:r>
      <w:r w:rsidR="00665F0F">
        <w:rPr>
          <w:rFonts w:ascii="Arial" w:hAnsi="Arial" w:cs="Arial"/>
          <w:sz w:val="24"/>
        </w:rPr>
        <w:t xml:space="preserve">the </w:t>
      </w:r>
      <w:r>
        <w:rPr>
          <w:rFonts w:ascii="Arial" w:hAnsi="Arial" w:cs="Arial"/>
          <w:sz w:val="24"/>
        </w:rPr>
        <w:t>south</w:t>
      </w:r>
      <w:r w:rsidR="00665F0F">
        <w:rPr>
          <w:rFonts w:ascii="Arial" w:hAnsi="Arial" w:cs="Arial"/>
          <w:sz w:val="24"/>
        </w:rPr>
        <w:t>ern part of County</w:t>
      </w:r>
      <w:r w:rsidR="00A07309">
        <w:rPr>
          <w:rFonts w:ascii="Arial" w:hAnsi="Arial" w:cs="Arial"/>
          <w:sz w:val="24"/>
        </w:rPr>
        <w:t xml:space="preserve"> Wicklow to form the new 3</w:t>
      </w:r>
      <w:r>
        <w:rPr>
          <w:rFonts w:ascii="Arial" w:hAnsi="Arial" w:cs="Arial"/>
          <w:sz w:val="24"/>
        </w:rPr>
        <w:t>-seat Wicklow-Wexford constituency</w:t>
      </w:r>
      <w:r w:rsidR="00A35BBA">
        <w:rPr>
          <w:rFonts w:ascii="Arial" w:hAnsi="Arial" w:cs="Arial"/>
          <w:sz w:val="24"/>
        </w:rPr>
        <w:t xml:space="preserve"> in Option 4</w:t>
      </w:r>
      <w:r>
        <w:rPr>
          <w:rFonts w:ascii="Arial" w:hAnsi="Arial" w:cs="Arial"/>
          <w:sz w:val="24"/>
        </w:rPr>
        <w:t>.</w:t>
      </w:r>
      <w:r w:rsidR="00A07309">
        <w:rPr>
          <w:rFonts w:ascii="Arial" w:hAnsi="Arial" w:cs="Arial"/>
          <w:sz w:val="24"/>
        </w:rPr>
        <w:t xml:space="preserve"> </w:t>
      </w:r>
      <w:r w:rsidR="00A35BBA">
        <w:rPr>
          <w:rFonts w:ascii="Arial" w:hAnsi="Arial" w:cs="Arial"/>
          <w:sz w:val="24"/>
        </w:rPr>
        <w:t xml:space="preserve"> </w:t>
      </w:r>
    </w:p>
    <w:p w:rsidR="00A35BBA" w:rsidRDefault="00A35BBA" w:rsidP="00F7514D">
      <w:pPr>
        <w:spacing w:after="0" w:line="360" w:lineRule="auto"/>
        <w:jc w:val="both"/>
        <w:rPr>
          <w:rFonts w:ascii="Arial" w:hAnsi="Arial" w:cs="Arial"/>
          <w:sz w:val="24"/>
        </w:rPr>
      </w:pPr>
    </w:p>
    <w:p w:rsidR="00A07309" w:rsidRDefault="008627F8" w:rsidP="00F7514D">
      <w:pPr>
        <w:spacing w:after="0" w:line="360" w:lineRule="auto"/>
        <w:jc w:val="both"/>
        <w:rPr>
          <w:rFonts w:ascii="Arial" w:hAnsi="Arial" w:cs="Arial"/>
          <w:sz w:val="24"/>
        </w:rPr>
      </w:pPr>
      <w:r>
        <w:rPr>
          <w:rFonts w:ascii="Arial" w:hAnsi="Arial" w:cs="Arial"/>
          <w:sz w:val="24"/>
        </w:rPr>
        <w:t xml:space="preserve">However, it can certainly be argued that to include that </w:t>
      </w:r>
      <w:r w:rsidR="00665F0F">
        <w:rPr>
          <w:rFonts w:ascii="Arial" w:hAnsi="Arial" w:cs="Arial"/>
          <w:sz w:val="24"/>
        </w:rPr>
        <w:t xml:space="preserve">particular </w:t>
      </w:r>
      <w:r>
        <w:rPr>
          <w:rFonts w:ascii="Arial" w:hAnsi="Arial" w:cs="Arial"/>
          <w:sz w:val="24"/>
        </w:rPr>
        <w:t xml:space="preserve">population as a breach of county boundaries is </w:t>
      </w:r>
      <w:r w:rsidR="00665F0F">
        <w:rPr>
          <w:rFonts w:ascii="Arial" w:hAnsi="Arial" w:cs="Arial"/>
          <w:sz w:val="24"/>
        </w:rPr>
        <w:t xml:space="preserve">something of </w:t>
      </w:r>
      <w:r>
        <w:rPr>
          <w:rFonts w:ascii="Arial" w:hAnsi="Arial" w:cs="Arial"/>
          <w:sz w:val="24"/>
        </w:rPr>
        <w:t>an overstatement</w:t>
      </w:r>
      <w:r w:rsidR="0066068D">
        <w:rPr>
          <w:rFonts w:ascii="Arial" w:hAnsi="Arial" w:cs="Arial"/>
          <w:sz w:val="24"/>
        </w:rPr>
        <w:t xml:space="preserve"> since an entirely new constituency is being created</w:t>
      </w:r>
      <w:r>
        <w:rPr>
          <w:rFonts w:ascii="Arial" w:hAnsi="Arial" w:cs="Arial"/>
          <w:sz w:val="24"/>
        </w:rPr>
        <w:t xml:space="preserve">, so on this basis, that figure is </w:t>
      </w:r>
      <w:r w:rsidR="00A35BBA">
        <w:rPr>
          <w:rFonts w:ascii="Arial" w:hAnsi="Arial" w:cs="Arial"/>
          <w:sz w:val="24"/>
        </w:rPr>
        <w:t xml:space="preserve">not included in the calculation of boundary breaches. </w:t>
      </w:r>
    </w:p>
    <w:p w:rsidR="008627F8" w:rsidRDefault="008627F8" w:rsidP="00F7514D">
      <w:pPr>
        <w:spacing w:after="0" w:line="360" w:lineRule="auto"/>
        <w:jc w:val="both"/>
        <w:rPr>
          <w:rFonts w:ascii="Arial" w:hAnsi="Arial" w:cs="Arial"/>
          <w:sz w:val="24"/>
        </w:rPr>
      </w:pPr>
    </w:p>
    <w:p w:rsidR="00A07309" w:rsidRDefault="00A35BBA" w:rsidP="00F7514D">
      <w:pPr>
        <w:spacing w:after="0" w:line="360" w:lineRule="auto"/>
        <w:jc w:val="both"/>
        <w:rPr>
          <w:rFonts w:ascii="Arial" w:hAnsi="Arial" w:cs="Arial"/>
          <w:sz w:val="24"/>
        </w:rPr>
      </w:pPr>
      <w:r>
        <w:rPr>
          <w:rFonts w:ascii="Arial" w:hAnsi="Arial" w:cs="Arial"/>
          <w:sz w:val="24"/>
        </w:rPr>
        <w:t xml:space="preserve">Option 5 for the south-east region presents a different perspective on the Wicklow-Wexford arrangement and this is discussed below.  </w:t>
      </w:r>
    </w:p>
    <w:p w:rsidR="00A35BBA" w:rsidRDefault="00A35BBA">
      <w:pPr>
        <w:rPr>
          <w:rFonts w:ascii="Arial" w:hAnsi="Arial" w:cs="Arial"/>
          <w:sz w:val="24"/>
        </w:rPr>
      </w:pPr>
    </w:p>
    <w:p w:rsidR="00A82F3C" w:rsidRDefault="00A82F3C">
      <w:pPr>
        <w:rPr>
          <w:rFonts w:ascii="Arial" w:hAnsi="Arial" w:cs="Arial"/>
          <w:sz w:val="24"/>
        </w:rPr>
      </w:pPr>
      <w:r>
        <w:rPr>
          <w:rFonts w:ascii="Arial" w:hAnsi="Arial" w:cs="Arial"/>
          <w:sz w:val="24"/>
        </w:rPr>
        <w:br w:type="page"/>
      </w:r>
    </w:p>
    <w:p w:rsidR="00533E5D" w:rsidRPr="00533E5D" w:rsidRDefault="00533E5D" w:rsidP="00F7514D">
      <w:pPr>
        <w:spacing w:after="0" w:line="360" w:lineRule="auto"/>
        <w:jc w:val="both"/>
        <w:rPr>
          <w:rFonts w:ascii="Arial" w:hAnsi="Arial" w:cs="Arial"/>
          <w:b/>
          <w:sz w:val="24"/>
        </w:rPr>
      </w:pPr>
      <w:r w:rsidRPr="00533E5D">
        <w:rPr>
          <w:rFonts w:ascii="Arial" w:hAnsi="Arial" w:cs="Arial"/>
          <w:b/>
          <w:sz w:val="24"/>
        </w:rPr>
        <w:lastRenderedPageBreak/>
        <w:t>4</w:t>
      </w:r>
      <w:r w:rsidRPr="00533E5D">
        <w:rPr>
          <w:rFonts w:ascii="Arial" w:hAnsi="Arial" w:cs="Arial"/>
          <w:b/>
          <w:sz w:val="24"/>
        </w:rPr>
        <w:tab/>
        <w:t>REGIONAL ANALYSIS CONSIDERING WIDER VARIANCE OPTIONS</w:t>
      </w:r>
    </w:p>
    <w:p w:rsidR="00533E5D" w:rsidRDefault="00533E5D" w:rsidP="00F7514D">
      <w:pPr>
        <w:spacing w:after="0" w:line="360" w:lineRule="auto"/>
        <w:jc w:val="both"/>
        <w:rPr>
          <w:rFonts w:ascii="Arial" w:hAnsi="Arial" w:cs="Arial"/>
          <w:sz w:val="24"/>
        </w:rPr>
      </w:pPr>
    </w:p>
    <w:p w:rsidR="00665F0F" w:rsidRDefault="00533E5D" w:rsidP="00F7514D">
      <w:pPr>
        <w:spacing w:after="0" w:line="360" w:lineRule="auto"/>
        <w:jc w:val="both"/>
        <w:rPr>
          <w:rFonts w:ascii="Arial" w:hAnsi="Arial" w:cs="Arial"/>
          <w:sz w:val="24"/>
        </w:rPr>
      </w:pPr>
      <w:r>
        <w:rPr>
          <w:rFonts w:ascii="Arial" w:hAnsi="Arial" w:cs="Arial"/>
          <w:sz w:val="24"/>
        </w:rPr>
        <w:t>Table 2 above sets out a range of considerable improvements in terms of reduced boundary breaches in the context of the options that have been preferred to date.  The key question at this point is would it be possible to imp</w:t>
      </w:r>
      <w:r w:rsidR="00665F0F">
        <w:rPr>
          <w:rFonts w:ascii="Arial" w:hAnsi="Arial" w:cs="Arial"/>
          <w:sz w:val="24"/>
        </w:rPr>
        <w:t>rove those</w:t>
      </w:r>
      <w:r w:rsidR="00A82F3C">
        <w:rPr>
          <w:rFonts w:ascii="Arial" w:hAnsi="Arial" w:cs="Arial"/>
          <w:sz w:val="24"/>
        </w:rPr>
        <w:t xml:space="preserve"> figures even further along the following lines</w:t>
      </w:r>
      <w:r w:rsidR="00665F0F">
        <w:rPr>
          <w:rFonts w:ascii="Arial" w:hAnsi="Arial" w:cs="Arial"/>
          <w:sz w:val="24"/>
        </w:rPr>
        <w:t xml:space="preserve">: </w:t>
      </w:r>
    </w:p>
    <w:p w:rsidR="00A82F3C" w:rsidRDefault="00A82F3C" w:rsidP="00F7514D">
      <w:pPr>
        <w:spacing w:after="0" w:line="360" w:lineRule="auto"/>
        <w:jc w:val="both"/>
        <w:rPr>
          <w:rFonts w:ascii="Arial" w:hAnsi="Arial" w:cs="Arial"/>
          <w:sz w:val="24"/>
        </w:rPr>
      </w:pPr>
    </w:p>
    <w:p w:rsidR="00665F0F" w:rsidRPr="00665F0F" w:rsidRDefault="00533E5D" w:rsidP="00665F0F">
      <w:pPr>
        <w:pStyle w:val="ListParagraph"/>
        <w:numPr>
          <w:ilvl w:val="0"/>
          <w:numId w:val="6"/>
        </w:numPr>
        <w:spacing w:after="0" w:line="360" w:lineRule="auto"/>
        <w:jc w:val="both"/>
        <w:rPr>
          <w:rFonts w:ascii="Arial" w:hAnsi="Arial" w:cs="Arial"/>
          <w:sz w:val="24"/>
        </w:rPr>
      </w:pPr>
      <w:r w:rsidRPr="00665F0F">
        <w:rPr>
          <w:rFonts w:ascii="Arial" w:hAnsi="Arial" w:cs="Arial"/>
          <w:sz w:val="24"/>
        </w:rPr>
        <w:t xml:space="preserve">reduction in total populations in breached areas, </w:t>
      </w:r>
    </w:p>
    <w:p w:rsidR="00665F0F" w:rsidRPr="00665F0F" w:rsidRDefault="00533E5D" w:rsidP="00665F0F">
      <w:pPr>
        <w:pStyle w:val="ListParagraph"/>
        <w:numPr>
          <w:ilvl w:val="0"/>
          <w:numId w:val="6"/>
        </w:numPr>
        <w:spacing w:after="0" w:line="360" w:lineRule="auto"/>
        <w:jc w:val="both"/>
        <w:rPr>
          <w:rFonts w:ascii="Arial" w:hAnsi="Arial" w:cs="Arial"/>
          <w:sz w:val="24"/>
        </w:rPr>
      </w:pPr>
      <w:r w:rsidRPr="00665F0F">
        <w:rPr>
          <w:rFonts w:ascii="Arial" w:hAnsi="Arial" w:cs="Arial"/>
          <w:sz w:val="24"/>
        </w:rPr>
        <w:t xml:space="preserve">reducing the actual number of breaches, and </w:t>
      </w:r>
    </w:p>
    <w:p w:rsidR="00533E5D" w:rsidRPr="00665F0F" w:rsidRDefault="00533E5D" w:rsidP="00665F0F">
      <w:pPr>
        <w:pStyle w:val="ListParagraph"/>
        <w:numPr>
          <w:ilvl w:val="0"/>
          <w:numId w:val="6"/>
        </w:numPr>
        <w:spacing w:after="0" w:line="360" w:lineRule="auto"/>
        <w:jc w:val="both"/>
        <w:rPr>
          <w:rFonts w:ascii="Arial" w:hAnsi="Arial" w:cs="Arial"/>
          <w:sz w:val="24"/>
        </w:rPr>
      </w:pPr>
      <w:r w:rsidRPr="00665F0F">
        <w:rPr>
          <w:rFonts w:ascii="Arial" w:hAnsi="Arial" w:cs="Arial"/>
          <w:sz w:val="24"/>
        </w:rPr>
        <w:t xml:space="preserve">reducing the number of counties whose boundaries are breached by constituencies </w:t>
      </w:r>
      <w:proofErr w:type="spellStart"/>
      <w:r w:rsidRPr="00665F0F">
        <w:rPr>
          <w:rFonts w:ascii="Arial" w:hAnsi="Arial" w:cs="Arial"/>
          <w:sz w:val="24"/>
        </w:rPr>
        <w:t>centered</w:t>
      </w:r>
      <w:proofErr w:type="spellEnd"/>
      <w:r w:rsidRPr="00665F0F">
        <w:rPr>
          <w:rFonts w:ascii="Arial" w:hAnsi="Arial" w:cs="Arial"/>
          <w:sz w:val="24"/>
        </w:rPr>
        <w:t xml:space="preserve"> in adjacent counties.  </w:t>
      </w:r>
    </w:p>
    <w:p w:rsidR="00665F0F" w:rsidRDefault="00665F0F" w:rsidP="00F7514D">
      <w:pPr>
        <w:spacing w:after="0" w:line="360" w:lineRule="auto"/>
        <w:jc w:val="both"/>
        <w:rPr>
          <w:rFonts w:ascii="Arial" w:hAnsi="Arial" w:cs="Arial"/>
          <w:sz w:val="24"/>
        </w:rPr>
      </w:pPr>
    </w:p>
    <w:p w:rsidR="00533E5D" w:rsidRDefault="00533E5D" w:rsidP="00F7514D">
      <w:pPr>
        <w:spacing w:after="0" w:line="360" w:lineRule="auto"/>
        <w:jc w:val="both"/>
        <w:rPr>
          <w:rFonts w:ascii="Arial" w:hAnsi="Arial" w:cs="Arial"/>
          <w:sz w:val="24"/>
        </w:rPr>
      </w:pPr>
      <w:r>
        <w:rPr>
          <w:rFonts w:ascii="Arial" w:hAnsi="Arial" w:cs="Arial"/>
          <w:sz w:val="24"/>
        </w:rPr>
        <w:t xml:space="preserve">This section of the paper considers that question in the context of a wider view on variance.  </w:t>
      </w:r>
    </w:p>
    <w:p w:rsidR="00533E5D" w:rsidRDefault="00533E5D" w:rsidP="00F7514D">
      <w:pPr>
        <w:spacing w:after="0" w:line="360" w:lineRule="auto"/>
        <w:jc w:val="both"/>
        <w:rPr>
          <w:rFonts w:ascii="Arial" w:hAnsi="Arial" w:cs="Arial"/>
          <w:sz w:val="24"/>
        </w:rPr>
      </w:pPr>
    </w:p>
    <w:p w:rsidR="00533E5D" w:rsidRPr="00533E5D" w:rsidRDefault="00533E5D" w:rsidP="00F7514D">
      <w:pPr>
        <w:spacing w:after="0" w:line="360" w:lineRule="auto"/>
        <w:jc w:val="both"/>
        <w:rPr>
          <w:rFonts w:ascii="Arial" w:hAnsi="Arial" w:cs="Arial"/>
          <w:b/>
          <w:sz w:val="24"/>
        </w:rPr>
      </w:pPr>
      <w:r w:rsidRPr="00533E5D">
        <w:rPr>
          <w:rFonts w:ascii="Arial" w:hAnsi="Arial" w:cs="Arial"/>
          <w:b/>
          <w:sz w:val="24"/>
        </w:rPr>
        <w:t xml:space="preserve">North-west region </w:t>
      </w:r>
    </w:p>
    <w:p w:rsidR="00D77C29" w:rsidRDefault="00533E5D" w:rsidP="00F7514D">
      <w:pPr>
        <w:spacing w:after="0" w:line="360" w:lineRule="auto"/>
        <w:jc w:val="both"/>
        <w:rPr>
          <w:rFonts w:ascii="Arial" w:hAnsi="Arial" w:cs="Arial"/>
          <w:sz w:val="24"/>
        </w:rPr>
      </w:pPr>
      <w:r>
        <w:rPr>
          <w:rFonts w:ascii="Arial" w:hAnsi="Arial" w:cs="Arial"/>
          <w:sz w:val="24"/>
        </w:rPr>
        <w:t xml:space="preserve">There are two breaches remaining in the north-west </w:t>
      </w:r>
      <w:r w:rsidR="00CF5BEF">
        <w:rPr>
          <w:rFonts w:ascii="Arial" w:hAnsi="Arial" w:cs="Arial"/>
          <w:sz w:val="24"/>
        </w:rPr>
        <w:t>region</w:t>
      </w:r>
      <w:r>
        <w:rPr>
          <w:rFonts w:ascii="Arial" w:hAnsi="Arial" w:cs="Arial"/>
          <w:sz w:val="24"/>
        </w:rPr>
        <w:t>: in the county of Donegal, and in eastern Galway.  It is not possible to remove either of these within an</w:t>
      </w:r>
      <w:r w:rsidR="00665F0F">
        <w:rPr>
          <w:rFonts w:ascii="Arial" w:hAnsi="Arial" w:cs="Arial"/>
          <w:sz w:val="24"/>
        </w:rPr>
        <w:t>y feasible range of variances, so it i</w:t>
      </w:r>
      <w:r w:rsidR="00A82F3C">
        <w:rPr>
          <w:rFonts w:ascii="Arial" w:hAnsi="Arial" w:cs="Arial"/>
          <w:sz w:val="24"/>
        </w:rPr>
        <w:t xml:space="preserve">s not proposed to put forward any further amendments.  </w:t>
      </w:r>
      <w:r w:rsidR="00D77C29">
        <w:rPr>
          <w:rFonts w:ascii="Arial" w:hAnsi="Arial" w:cs="Arial"/>
          <w:sz w:val="24"/>
        </w:rPr>
        <w:t xml:space="preserve">A reduction in the breach in Donegal would preclude improvement in the breach in the north of County Roscommon. </w:t>
      </w:r>
    </w:p>
    <w:p w:rsidR="00D77C29" w:rsidRDefault="00D77C29" w:rsidP="00F7514D">
      <w:pPr>
        <w:spacing w:after="0" w:line="360" w:lineRule="auto"/>
        <w:jc w:val="both"/>
        <w:rPr>
          <w:rFonts w:ascii="Arial" w:hAnsi="Arial" w:cs="Arial"/>
          <w:sz w:val="24"/>
        </w:rPr>
      </w:pPr>
    </w:p>
    <w:p w:rsidR="00D77C29" w:rsidRDefault="00D77C29" w:rsidP="00F7514D">
      <w:pPr>
        <w:spacing w:after="0" w:line="360" w:lineRule="auto"/>
        <w:jc w:val="both"/>
        <w:rPr>
          <w:rFonts w:ascii="Arial" w:hAnsi="Arial" w:cs="Arial"/>
          <w:sz w:val="24"/>
        </w:rPr>
      </w:pPr>
      <w:r>
        <w:rPr>
          <w:rFonts w:ascii="Arial" w:hAnsi="Arial" w:cs="Arial"/>
          <w:sz w:val="24"/>
        </w:rPr>
        <w:t xml:space="preserve">The counties of Mayo, Roscommon, Sligo and Leitrim would not have any breaches. </w:t>
      </w:r>
    </w:p>
    <w:p w:rsidR="00D77C29" w:rsidRDefault="00D77C29" w:rsidP="00F7514D">
      <w:pPr>
        <w:spacing w:after="0" w:line="360" w:lineRule="auto"/>
        <w:jc w:val="both"/>
        <w:rPr>
          <w:rFonts w:ascii="Arial" w:hAnsi="Arial" w:cs="Arial"/>
          <w:sz w:val="24"/>
        </w:rPr>
      </w:pPr>
    </w:p>
    <w:p w:rsidR="00533E5D" w:rsidRPr="00533E5D" w:rsidRDefault="00533E5D" w:rsidP="00F7514D">
      <w:pPr>
        <w:spacing w:after="0" w:line="360" w:lineRule="auto"/>
        <w:jc w:val="both"/>
        <w:rPr>
          <w:rFonts w:ascii="Arial" w:hAnsi="Arial" w:cs="Arial"/>
          <w:b/>
          <w:sz w:val="24"/>
        </w:rPr>
      </w:pPr>
      <w:r w:rsidRPr="00533E5D">
        <w:rPr>
          <w:rFonts w:ascii="Arial" w:hAnsi="Arial" w:cs="Arial"/>
          <w:b/>
          <w:sz w:val="24"/>
        </w:rPr>
        <w:t xml:space="preserve">North-east region </w:t>
      </w:r>
    </w:p>
    <w:p w:rsidR="00533E5D" w:rsidRDefault="00CF5BEF" w:rsidP="00F7514D">
      <w:pPr>
        <w:spacing w:after="0" w:line="360" w:lineRule="auto"/>
        <w:jc w:val="both"/>
        <w:rPr>
          <w:rFonts w:ascii="Arial" w:hAnsi="Arial" w:cs="Arial"/>
          <w:sz w:val="24"/>
        </w:rPr>
      </w:pPr>
      <w:r>
        <w:rPr>
          <w:rFonts w:ascii="Arial" w:hAnsi="Arial" w:cs="Arial"/>
          <w:sz w:val="24"/>
        </w:rPr>
        <w:t>In this region, the constituency configuration that is preferred, is almost perfect, in that there is exactly one electoral division breached, in County Meath.  However, this is part of the town of Drogheda, and it has been considered that it is best to leave it in situ in the constituency of Louth, so there is no possibility of any furth</w:t>
      </w:r>
      <w:r w:rsidR="002B6FB4">
        <w:rPr>
          <w:rFonts w:ascii="Arial" w:hAnsi="Arial" w:cs="Arial"/>
          <w:sz w:val="24"/>
        </w:rPr>
        <w:t xml:space="preserve">er improvement in this region. </w:t>
      </w:r>
    </w:p>
    <w:p w:rsidR="002B6FB4" w:rsidRDefault="002B6FB4" w:rsidP="00F7514D">
      <w:pPr>
        <w:spacing w:after="0" w:line="360" w:lineRule="auto"/>
        <w:jc w:val="both"/>
        <w:rPr>
          <w:rFonts w:ascii="Arial" w:hAnsi="Arial" w:cs="Arial"/>
          <w:sz w:val="24"/>
        </w:rPr>
      </w:pPr>
    </w:p>
    <w:p w:rsidR="002B6FB4" w:rsidRDefault="002B6FB4" w:rsidP="00F7514D">
      <w:pPr>
        <w:spacing w:after="0" w:line="360" w:lineRule="auto"/>
        <w:jc w:val="both"/>
        <w:rPr>
          <w:rFonts w:ascii="Arial" w:hAnsi="Arial" w:cs="Arial"/>
          <w:sz w:val="24"/>
        </w:rPr>
      </w:pPr>
      <w:r>
        <w:rPr>
          <w:rFonts w:ascii="Arial" w:hAnsi="Arial" w:cs="Arial"/>
          <w:sz w:val="24"/>
        </w:rPr>
        <w:t xml:space="preserve">There would be only the County of Meath breached, and </w:t>
      </w:r>
      <w:r w:rsidR="00A82F3C">
        <w:rPr>
          <w:rFonts w:ascii="Arial" w:hAnsi="Arial" w:cs="Arial"/>
          <w:sz w:val="24"/>
        </w:rPr>
        <w:t xml:space="preserve">the counties of </w:t>
      </w:r>
      <w:r>
        <w:rPr>
          <w:rFonts w:ascii="Arial" w:hAnsi="Arial" w:cs="Arial"/>
          <w:sz w:val="24"/>
        </w:rPr>
        <w:t>Louth, Cavan</w:t>
      </w:r>
      <w:r w:rsidRPr="002B6FB4">
        <w:rPr>
          <w:rFonts w:ascii="Arial" w:hAnsi="Arial" w:cs="Arial"/>
          <w:sz w:val="24"/>
        </w:rPr>
        <w:t>, Monaghan, Longford and Westmeath would have no breaches.</w:t>
      </w:r>
      <w:r>
        <w:rPr>
          <w:rFonts w:ascii="Arial" w:hAnsi="Arial" w:cs="Arial"/>
          <w:sz w:val="24"/>
        </w:rPr>
        <w:t xml:space="preserve"> </w:t>
      </w:r>
    </w:p>
    <w:p w:rsidR="00533E5D" w:rsidRPr="00CF5BEF" w:rsidRDefault="00CF5BEF" w:rsidP="00F7514D">
      <w:pPr>
        <w:spacing w:after="0" w:line="360" w:lineRule="auto"/>
        <w:jc w:val="both"/>
        <w:rPr>
          <w:rFonts w:ascii="Arial" w:hAnsi="Arial" w:cs="Arial"/>
          <w:b/>
          <w:sz w:val="24"/>
        </w:rPr>
      </w:pPr>
      <w:r w:rsidRPr="00CF5BEF">
        <w:rPr>
          <w:rFonts w:ascii="Arial" w:hAnsi="Arial" w:cs="Arial"/>
          <w:b/>
          <w:sz w:val="24"/>
        </w:rPr>
        <w:lastRenderedPageBreak/>
        <w:t xml:space="preserve">South-west region </w:t>
      </w:r>
    </w:p>
    <w:p w:rsidR="00533E5D" w:rsidRDefault="00010E1F" w:rsidP="00F7514D">
      <w:pPr>
        <w:spacing w:after="0" w:line="360" w:lineRule="auto"/>
        <w:jc w:val="both"/>
        <w:rPr>
          <w:rFonts w:ascii="Arial" w:hAnsi="Arial" w:cs="Arial"/>
          <w:sz w:val="24"/>
        </w:rPr>
      </w:pPr>
      <w:r>
        <w:rPr>
          <w:rFonts w:ascii="Arial" w:hAnsi="Arial" w:cs="Arial"/>
          <w:sz w:val="24"/>
        </w:rPr>
        <w:t>Option 1</w:t>
      </w:r>
      <w:r w:rsidR="002B6FB4">
        <w:rPr>
          <w:rFonts w:ascii="Arial" w:hAnsi="Arial" w:cs="Arial"/>
          <w:sz w:val="24"/>
        </w:rPr>
        <w:t>, which is the preferred option,</w:t>
      </w:r>
      <w:r>
        <w:rPr>
          <w:rFonts w:ascii="Arial" w:hAnsi="Arial" w:cs="Arial"/>
          <w:sz w:val="24"/>
        </w:rPr>
        <w:t xml:space="preserve"> in the south-west region could be amended by avoiding the transfer, previously proposed, of the electoral division of </w:t>
      </w:r>
      <w:proofErr w:type="spellStart"/>
      <w:r>
        <w:rPr>
          <w:rFonts w:ascii="Arial" w:hAnsi="Arial" w:cs="Arial"/>
          <w:sz w:val="24"/>
        </w:rPr>
        <w:t>Ballyglass</w:t>
      </w:r>
      <w:proofErr w:type="spellEnd"/>
      <w:r w:rsidR="002B6FB4">
        <w:rPr>
          <w:rFonts w:ascii="Arial" w:hAnsi="Arial" w:cs="Arial"/>
          <w:sz w:val="24"/>
        </w:rPr>
        <w:t>, (Pop. 6,0</w:t>
      </w:r>
      <w:r w:rsidR="00D77C29">
        <w:rPr>
          <w:rFonts w:ascii="Arial" w:hAnsi="Arial" w:cs="Arial"/>
          <w:sz w:val="24"/>
        </w:rPr>
        <w:t>2</w:t>
      </w:r>
      <w:r w:rsidR="002B6FB4">
        <w:rPr>
          <w:rFonts w:ascii="Arial" w:hAnsi="Arial" w:cs="Arial"/>
          <w:sz w:val="24"/>
        </w:rPr>
        <w:t>3)</w:t>
      </w:r>
      <w:r>
        <w:rPr>
          <w:rFonts w:ascii="Arial" w:hAnsi="Arial" w:cs="Arial"/>
          <w:sz w:val="24"/>
        </w:rPr>
        <w:t xml:space="preserve"> from the constituency of Clare to the constituency of Limerick City.  </w:t>
      </w:r>
    </w:p>
    <w:p w:rsidR="008627F8" w:rsidRDefault="008627F8" w:rsidP="00F7514D">
      <w:pPr>
        <w:spacing w:after="0" w:line="360" w:lineRule="auto"/>
        <w:jc w:val="both"/>
        <w:rPr>
          <w:rFonts w:ascii="Arial" w:hAnsi="Arial" w:cs="Arial"/>
          <w:sz w:val="24"/>
        </w:rPr>
      </w:pPr>
    </w:p>
    <w:p w:rsidR="00665F0F" w:rsidRDefault="00665F0F" w:rsidP="00F7514D">
      <w:pPr>
        <w:spacing w:after="0" w:line="360" w:lineRule="auto"/>
        <w:jc w:val="both"/>
        <w:rPr>
          <w:rFonts w:ascii="Arial" w:hAnsi="Arial" w:cs="Arial"/>
          <w:sz w:val="24"/>
        </w:rPr>
      </w:pPr>
      <w:r>
        <w:rPr>
          <w:rFonts w:ascii="Arial" w:hAnsi="Arial" w:cs="Arial"/>
          <w:sz w:val="24"/>
        </w:rPr>
        <w:t>If this approach is taken, then the variance of the Clare constituency would be +8.18%, and as compared to the preferred option; the reduction in total population in breached areas would be 6,0</w:t>
      </w:r>
      <w:r w:rsidR="00D77C29">
        <w:rPr>
          <w:rFonts w:ascii="Arial" w:hAnsi="Arial" w:cs="Arial"/>
          <w:sz w:val="24"/>
        </w:rPr>
        <w:t>2</w:t>
      </w:r>
      <w:r>
        <w:rPr>
          <w:rFonts w:ascii="Arial" w:hAnsi="Arial" w:cs="Arial"/>
          <w:sz w:val="24"/>
        </w:rPr>
        <w:t xml:space="preserve">3, the number of breaches reduced by one, </w:t>
      </w:r>
      <w:r w:rsidR="002B6FB4">
        <w:rPr>
          <w:rFonts w:ascii="Arial" w:hAnsi="Arial" w:cs="Arial"/>
          <w:sz w:val="24"/>
        </w:rPr>
        <w:t xml:space="preserve">one less county would be breached </w:t>
      </w:r>
      <w:r>
        <w:rPr>
          <w:rFonts w:ascii="Arial" w:hAnsi="Arial" w:cs="Arial"/>
          <w:sz w:val="24"/>
        </w:rPr>
        <w:t>and the percentage improvement in the region would be 100%</w:t>
      </w:r>
      <w:r w:rsidR="002B6FB4">
        <w:rPr>
          <w:rFonts w:ascii="Arial" w:hAnsi="Arial" w:cs="Arial"/>
          <w:sz w:val="24"/>
        </w:rPr>
        <w:t xml:space="preserve">.  </w:t>
      </w:r>
    </w:p>
    <w:p w:rsidR="002B6FB4" w:rsidRDefault="002B6FB4" w:rsidP="00F7514D">
      <w:pPr>
        <w:spacing w:after="0" w:line="360" w:lineRule="auto"/>
        <w:jc w:val="both"/>
        <w:rPr>
          <w:rFonts w:ascii="Arial" w:hAnsi="Arial" w:cs="Arial"/>
          <w:sz w:val="24"/>
        </w:rPr>
      </w:pPr>
    </w:p>
    <w:p w:rsidR="002B6FB4" w:rsidRDefault="002B6FB4" w:rsidP="00F7514D">
      <w:pPr>
        <w:spacing w:after="0" w:line="360" w:lineRule="auto"/>
        <w:jc w:val="both"/>
        <w:rPr>
          <w:rFonts w:ascii="Arial" w:hAnsi="Arial" w:cs="Arial"/>
          <w:sz w:val="24"/>
        </w:rPr>
      </w:pPr>
      <w:r>
        <w:rPr>
          <w:rFonts w:ascii="Arial" w:hAnsi="Arial" w:cs="Arial"/>
          <w:sz w:val="24"/>
        </w:rPr>
        <w:t xml:space="preserve">There would be no remaining breaches between the counties of Clare, Kerry and Limerick. </w:t>
      </w:r>
    </w:p>
    <w:p w:rsidR="002B6FB4" w:rsidRDefault="002B6FB4" w:rsidP="00F7514D">
      <w:pPr>
        <w:spacing w:after="0" w:line="360" w:lineRule="auto"/>
        <w:jc w:val="both"/>
        <w:rPr>
          <w:rFonts w:ascii="Arial" w:hAnsi="Arial" w:cs="Arial"/>
          <w:sz w:val="24"/>
        </w:rPr>
      </w:pPr>
    </w:p>
    <w:p w:rsidR="00665F0F" w:rsidRPr="002B6FB4" w:rsidRDefault="002B6FB4" w:rsidP="00F7514D">
      <w:pPr>
        <w:spacing w:after="0" w:line="360" w:lineRule="auto"/>
        <w:jc w:val="both"/>
        <w:rPr>
          <w:rFonts w:ascii="Arial" w:hAnsi="Arial" w:cs="Arial"/>
          <w:b/>
          <w:sz w:val="24"/>
        </w:rPr>
      </w:pPr>
      <w:r w:rsidRPr="002B6FB4">
        <w:rPr>
          <w:rFonts w:ascii="Arial" w:hAnsi="Arial" w:cs="Arial"/>
          <w:b/>
          <w:sz w:val="24"/>
        </w:rPr>
        <w:t xml:space="preserve">Dublin South Region </w:t>
      </w:r>
    </w:p>
    <w:p w:rsidR="002B6FB4" w:rsidRDefault="002B6FB4" w:rsidP="002B6FB4">
      <w:pPr>
        <w:spacing w:after="0" w:line="360" w:lineRule="auto"/>
        <w:jc w:val="both"/>
        <w:rPr>
          <w:rFonts w:ascii="Arial" w:hAnsi="Arial" w:cs="Arial"/>
          <w:sz w:val="24"/>
        </w:rPr>
      </w:pPr>
      <w:r>
        <w:rPr>
          <w:rFonts w:ascii="Arial" w:hAnsi="Arial" w:cs="Arial"/>
          <w:sz w:val="24"/>
        </w:rPr>
        <w:t xml:space="preserve">Option 3, which is the preferred option, in the Dublin South Region could be amended by transferring the electoral division of </w:t>
      </w:r>
      <w:proofErr w:type="spellStart"/>
      <w:r>
        <w:rPr>
          <w:rFonts w:ascii="Arial" w:hAnsi="Arial" w:cs="Arial"/>
          <w:sz w:val="24"/>
        </w:rPr>
        <w:t>Terenure-Cherryfield</w:t>
      </w:r>
      <w:proofErr w:type="spellEnd"/>
      <w:r>
        <w:rPr>
          <w:rFonts w:ascii="Arial" w:hAnsi="Arial" w:cs="Arial"/>
          <w:sz w:val="24"/>
        </w:rPr>
        <w:t xml:space="preserve"> (Pop. 2,211) from the constituency of Dublin South Central to the constituency of Dublin South West. </w:t>
      </w:r>
      <w:r w:rsidR="00E648A9">
        <w:rPr>
          <w:rFonts w:ascii="Arial" w:hAnsi="Arial" w:cs="Arial"/>
          <w:sz w:val="24"/>
        </w:rPr>
        <w:t xml:space="preserve">It is the only electoral division in Option 3 which breaches a boundary. </w:t>
      </w:r>
    </w:p>
    <w:p w:rsidR="002B6FB4" w:rsidRDefault="002B6FB4" w:rsidP="002B6FB4">
      <w:pPr>
        <w:spacing w:after="0" w:line="360" w:lineRule="auto"/>
        <w:jc w:val="both"/>
        <w:rPr>
          <w:rFonts w:ascii="Arial" w:hAnsi="Arial" w:cs="Arial"/>
          <w:sz w:val="24"/>
        </w:rPr>
      </w:pPr>
    </w:p>
    <w:p w:rsidR="002B6FB4" w:rsidRDefault="002B6FB4" w:rsidP="002B6FB4">
      <w:pPr>
        <w:spacing w:after="0" w:line="360" w:lineRule="auto"/>
        <w:jc w:val="both"/>
        <w:rPr>
          <w:rFonts w:ascii="Arial" w:hAnsi="Arial" w:cs="Arial"/>
          <w:sz w:val="24"/>
        </w:rPr>
      </w:pPr>
      <w:r>
        <w:rPr>
          <w:rFonts w:ascii="Arial" w:hAnsi="Arial" w:cs="Arial"/>
          <w:sz w:val="24"/>
        </w:rPr>
        <w:t xml:space="preserve">If this approach is taken, then the variance of the </w:t>
      </w:r>
      <w:r w:rsidR="00E648A9">
        <w:rPr>
          <w:rFonts w:ascii="Arial" w:hAnsi="Arial" w:cs="Arial"/>
          <w:sz w:val="24"/>
        </w:rPr>
        <w:t xml:space="preserve">Dublin South-West </w:t>
      </w:r>
      <w:r>
        <w:rPr>
          <w:rFonts w:ascii="Arial" w:hAnsi="Arial" w:cs="Arial"/>
          <w:sz w:val="24"/>
        </w:rPr>
        <w:t xml:space="preserve">constituency would </w:t>
      </w:r>
      <w:r w:rsidR="00E648A9">
        <w:rPr>
          <w:rFonts w:ascii="Arial" w:hAnsi="Arial" w:cs="Arial"/>
          <w:sz w:val="24"/>
        </w:rPr>
        <w:t xml:space="preserve">increase from </w:t>
      </w:r>
      <w:r>
        <w:rPr>
          <w:rFonts w:ascii="Arial" w:hAnsi="Arial" w:cs="Arial"/>
          <w:sz w:val="24"/>
        </w:rPr>
        <w:t>+</w:t>
      </w:r>
      <w:r w:rsidR="00E648A9">
        <w:rPr>
          <w:rFonts w:ascii="Arial" w:hAnsi="Arial" w:cs="Arial"/>
          <w:sz w:val="24"/>
        </w:rPr>
        <w:t>5</w:t>
      </w:r>
      <w:r>
        <w:rPr>
          <w:rFonts w:ascii="Arial" w:hAnsi="Arial" w:cs="Arial"/>
          <w:sz w:val="24"/>
        </w:rPr>
        <w:t>.</w:t>
      </w:r>
      <w:r w:rsidR="00E648A9">
        <w:rPr>
          <w:rFonts w:ascii="Arial" w:hAnsi="Arial" w:cs="Arial"/>
          <w:sz w:val="24"/>
        </w:rPr>
        <w:t>87</w:t>
      </w:r>
      <w:r>
        <w:rPr>
          <w:rFonts w:ascii="Arial" w:hAnsi="Arial" w:cs="Arial"/>
          <w:sz w:val="24"/>
        </w:rPr>
        <w:t>%</w:t>
      </w:r>
      <w:r w:rsidR="00E648A9">
        <w:rPr>
          <w:rFonts w:ascii="Arial" w:hAnsi="Arial" w:cs="Arial"/>
          <w:sz w:val="24"/>
        </w:rPr>
        <w:t xml:space="preserve"> to +7.37%, while Dublin South Central would reduce from +3.73% to +1.85%.  A</w:t>
      </w:r>
      <w:r>
        <w:rPr>
          <w:rFonts w:ascii="Arial" w:hAnsi="Arial" w:cs="Arial"/>
          <w:sz w:val="24"/>
        </w:rPr>
        <w:t xml:space="preserve">s compared to the preferred option; the reduction in total population in breached areas would be </w:t>
      </w:r>
      <w:r w:rsidR="00E648A9">
        <w:rPr>
          <w:rFonts w:ascii="Arial" w:hAnsi="Arial" w:cs="Arial"/>
          <w:sz w:val="24"/>
        </w:rPr>
        <w:t>2</w:t>
      </w:r>
      <w:r>
        <w:rPr>
          <w:rFonts w:ascii="Arial" w:hAnsi="Arial" w:cs="Arial"/>
          <w:sz w:val="24"/>
        </w:rPr>
        <w:t>,</w:t>
      </w:r>
      <w:r w:rsidR="00E648A9">
        <w:rPr>
          <w:rFonts w:ascii="Arial" w:hAnsi="Arial" w:cs="Arial"/>
          <w:sz w:val="24"/>
        </w:rPr>
        <w:t>211</w:t>
      </w:r>
      <w:r>
        <w:rPr>
          <w:rFonts w:ascii="Arial" w:hAnsi="Arial" w:cs="Arial"/>
          <w:sz w:val="24"/>
        </w:rPr>
        <w:t>, the number of breaches reduced by one, one less county would be breached and the percentage improvement in the region would be 100%</w:t>
      </w:r>
      <w:r w:rsidR="00D77C29">
        <w:rPr>
          <w:rFonts w:ascii="Arial" w:hAnsi="Arial" w:cs="Arial"/>
          <w:sz w:val="24"/>
        </w:rPr>
        <w:t xml:space="preserve">. </w:t>
      </w:r>
    </w:p>
    <w:p w:rsidR="00665F0F" w:rsidRDefault="00665F0F" w:rsidP="00F7514D">
      <w:pPr>
        <w:spacing w:after="0" w:line="360" w:lineRule="auto"/>
        <w:jc w:val="both"/>
        <w:rPr>
          <w:rFonts w:ascii="Arial" w:hAnsi="Arial" w:cs="Arial"/>
          <w:sz w:val="24"/>
        </w:rPr>
      </w:pPr>
    </w:p>
    <w:p w:rsidR="00665F0F" w:rsidRDefault="00E648A9" w:rsidP="00F7514D">
      <w:pPr>
        <w:spacing w:after="0" w:line="360" w:lineRule="auto"/>
        <w:jc w:val="both"/>
        <w:rPr>
          <w:rFonts w:ascii="Arial" w:hAnsi="Arial" w:cs="Arial"/>
          <w:sz w:val="24"/>
        </w:rPr>
      </w:pPr>
      <w:r>
        <w:rPr>
          <w:rFonts w:ascii="Arial" w:hAnsi="Arial" w:cs="Arial"/>
          <w:sz w:val="24"/>
        </w:rPr>
        <w:t>This approach would mean the counties of South Dublin and Dun Laoghaire-</w:t>
      </w:r>
      <w:proofErr w:type="spellStart"/>
      <w:r>
        <w:rPr>
          <w:rFonts w:ascii="Arial" w:hAnsi="Arial" w:cs="Arial"/>
          <w:sz w:val="24"/>
        </w:rPr>
        <w:t>Rathdown</w:t>
      </w:r>
      <w:proofErr w:type="spellEnd"/>
      <w:r>
        <w:rPr>
          <w:rFonts w:ascii="Arial" w:hAnsi="Arial" w:cs="Arial"/>
          <w:sz w:val="24"/>
        </w:rPr>
        <w:t xml:space="preserve"> would have no breaches in their boundaries.  In addition, the part of the City of Dublin south of the </w:t>
      </w:r>
      <w:proofErr w:type="spellStart"/>
      <w:r>
        <w:rPr>
          <w:rFonts w:ascii="Arial" w:hAnsi="Arial" w:cs="Arial"/>
          <w:sz w:val="24"/>
        </w:rPr>
        <w:t>Liffey</w:t>
      </w:r>
      <w:proofErr w:type="spellEnd"/>
      <w:r>
        <w:rPr>
          <w:rFonts w:ascii="Arial" w:hAnsi="Arial" w:cs="Arial"/>
          <w:sz w:val="24"/>
        </w:rPr>
        <w:t xml:space="preserve"> River would have no breaches, so therefore the Dublin South region as a whole would have no boundary breaches. </w:t>
      </w:r>
    </w:p>
    <w:p w:rsidR="00E648A9" w:rsidRDefault="00E648A9" w:rsidP="00F7514D">
      <w:pPr>
        <w:spacing w:after="0" w:line="360" w:lineRule="auto"/>
        <w:jc w:val="both"/>
        <w:rPr>
          <w:rFonts w:ascii="Arial" w:hAnsi="Arial" w:cs="Arial"/>
          <w:sz w:val="24"/>
        </w:rPr>
      </w:pPr>
    </w:p>
    <w:p w:rsidR="00A82F3C" w:rsidRDefault="00A82F3C" w:rsidP="00F7514D">
      <w:pPr>
        <w:spacing w:after="0" w:line="360" w:lineRule="auto"/>
        <w:jc w:val="both"/>
        <w:rPr>
          <w:rFonts w:ascii="Arial" w:hAnsi="Arial" w:cs="Arial"/>
          <w:sz w:val="24"/>
        </w:rPr>
      </w:pPr>
    </w:p>
    <w:p w:rsidR="00A82F3C" w:rsidRDefault="00A82F3C" w:rsidP="00F7514D">
      <w:pPr>
        <w:spacing w:after="0" w:line="360" w:lineRule="auto"/>
        <w:jc w:val="both"/>
        <w:rPr>
          <w:rFonts w:ascii="Arial" w:hAnsi="Arial" w:cs="Arial"/>
          <w:sz w:val="24"/>
        </w:rPr>
      </w:pPr>
    </w:p>
    <w:p w:rsidR="00A82F3C" w:rsidRDefault="00A82F3C" w:rsidP="00F7514D">
      <w:pPr>
        <w:spacing w:after="0" w:line="360" w:lineRule="auto"/>
        <w:jc w:val="both"/>
        <w:rPr>
          <w:rFonts w:ascii="Arial" w:hAnsi="Arial" w:cs="Arial"/>
          <w:sz w:val="24"/>
        </w:rPr>
      </w:pPr>
    </w:p>
    <w:p w:rsidR="00E648A9" w:rsidRPr="002B6FB4" w:rsidRDefault="00E648A9" w:rsidP="00E648A9">
      <w:pPr>
        <w:spacing w:after="0" w:line="360" w:lineRule="auto"/>
        <w:jc w:val="both"/>
        <w:rPr>
          <w:rFonts w:ascii="Arial" w:hAnsi="Arial" w:cs="Arial"/>
          <w:b/>
          <w:sz w:val="24"/>
        </w:rPr>
      </w:pPr>
      <w:r w:rsidRPr="002B6FB4">
        <w:rPr>
          <w:rFonts w:ascii="Arial" w:hAnsi="Arial" w:cs="Arial"/>
          <w:b/>
          <w:sz w:val="24"/>
        </w:rPr>
        <w:lastRenderedPageBreak/>
        <w:t xml:space="preserve">Dublin </w:t>
      </w:r>
      <w:r>
        <w:rPr>
          <w:rFonts w:ascii="Arial" w:hAnsi="Arial" w:cs="Arial"/>
          <w:b/>
          <w:sz w:val="24"/>
        </w:rPr>
        <w:t>North</w:t>
      </w:r>
      <w:r w:rsidRPr="002B6FB4">
        <w:rPr>
          <w:rFonts w:ascii="Arial" w:hAnsi="Arial" w:cs="Arial"/>
          <w:b/>
          <w:sz w:val="24"/>
        </w:rPr>
        <w:t xml:space="preserve"> Region </w:t>
      </w:r>
    </w:p>
    <w:p w:rsidR="00E648A9" w:rsidRDefault="0066068D" w:rsidP="00F7514D">
      <w:pPr>
        <w:spacing w:after="0" w:line="360" w:lineRule="auto"/>
        <w:jc w:val="both"/>
        <w:rPr>
          <w:rFonts w:ascii="Arial" w:hAnsi="Arial" w:cs="Arial"/>
          <w:sz w:val="24"/>
        </w:rPr>
      </w:pPr>
      <w:r>
        <w:rPr>
          <w:rFonts w:ascii="Arial" w:hAnsi="Arial" w:cs="Arial"/>
          <w:sz w:val="24"/>
        </w:rPr>
        <w:t>T</w:t>
      </w:r>
      <w:r w:rsidR="00A82F3C">
        <w:rPr>
          <w:rFonts w:ascii="Arial" w:hAnsi="Arial" w:cs="Arial"/>
          <w:sz w:val="24"/>
        </w:rPr>
        <w:t xml:space="preserve">he preferred </w:t>
      </w:r>
      <w:r>
        <w:rPr>
          <w:rFonts w:ascii="Arial" w:hAnsi="Arial" w:cs="Arial"/>
          <w:sz w:val="24"/>
        </w:rPr>
        <w:t xml:space="preserve">approach in this region involves no breaches in the boundaries of either the County of Fingal or Dublin City. </w:t>
      </w:r>
    </w:p>
    <w:p w:rsidR="00E648A9" w:rsidRDefault="00E648A9" w:rsidP="00F7514D">
      <w:pPr>
        <w:spacing w:after="0" w:line="360" w:lineRule="auto"/>
        <w:jc w:val="both"/>
        <w:rPr>
          <w:rFonts w:ascii="Arial" w:hAnsi="Arial" w:cs="Arial"/>
          <w:sz w:val="24"/>
        </w:rPr>
      </w:pPr>
    </w:p>
    <w:p w:rsidR="0066068D" w:rsidRDefault="0066068D" w:rsidP="00F7514D">
      <w:pPr>
        <w:spacing w:after="0" w:line="360" w:lineRule="auto"/>
        <w:jc w:val="both"/>
        <w:rPr>
          <w:rFonts w:ascii="Arial" w:hAnsi="Arial" w:cs="Arial"/>
          <w:sz w:val="24"/>
        </w:rPr>
      </w:pPr>
      <w:r>
        <w:rPr>
          <w:rFonts w:ascii="Arial" w:hAnsi="Arial" w:cs="Arial"/>
          <w:sz w:val="24"/>
        </w:rPr>
        <w:t xml:space="preserve">If this is considered in concert with the approach in the Dublin South region set out above, then there would be no breaches in any of the Dublin counties or in the Dublin City boundary.  </w:t>
      </w:r>
    </w:p>
    <w:p w:rsidR="00533E5D" w:rsidRDefault="00533E5D" w:rsidP="00F7514D">
      <w:pPr>
        <w:spacing w:after="0" w:line="360" w:lineRule="auto"/>
        <w:jc w:val="both"/>
        <w:rPr>
          <w:rFonts w:ascii="Arial" w:hAnsi="Arial" w:cs="Arial"/>
          <w:sz w:val="24"/>
        </w:rPr>
      </w:pPr>
    </w:p>
    <w:p w:rsidR="0066068D" w:rsidRPr="00CF5BEF" w:rsidRDefault="0066068D" w:rsidP="0066068D">
      <w:pPr>
        <w:spacing w:after="0" w:line="360" w:lineRule="auto"/>
        <w:jc w:val="both"/>
        <w:rPr>
          <w:rFonts w:ascii="Arial" w:hAnsi="Arial" w:cs="Arial"/>
          <w:b/>
          <w:sz w:val="24"/>
        </w:rPr>
      </w:pPr>
      <w:r w:rsidRPr="00CF5BEF">
        <w:rPr>
          <w:rFonts w:ascii="Arial" w:hAnsi="Arial" w:cs="Arial"/>
          <w:b/>
          <w:sz w:val="24"/>
        </w:rPr>
        <w:t>South-</w:t>
      </w:r>
      <w:r>
        <w:rPr>
          <w:rFonts w:ascii="Arial" w:hAnsi="Arial" w:cs="Arial"/>
          <w:b/>
          <w:sz w:val="24"/>
        </w:rPr>
        <w:t>east</w:t>
      </w:r>
      <w:r w:rsidRPr="00CF5BEF">
        <w:rPr>
          <w:rFonts w:ascii="Arial" w:hAnsi="Arial" w:cs="Arial"/>
          <w:b/>
          <w:sz w:val="24"/>
        </w:rPr>
        <w:t xml:space="preserve"> region </w:t>
      </w:r>
    </w:p>
    <w:p w:rsidR="0066068D" w:rsidRDefault="0066068D" w:rsidP="0066068D">
      <w:pPr>
        <w:spacing w:after="0" w:line="360" w:lineRule="auto"/>
        <w:jc w:val="both"/>
        <w:rPr>
          <w:rFonts w:ascii="Arial" w:hAnsi="Arial" w:cs="Arial"/>
          <w:sz w:val="24"/>
        </w:rPr>
      </w:pPr>
      <w:r>
        <w:rPr>
          <w:rFonts w:ascii="Arial" w:hAnsi="Arial" w:cs="Arial"/>
          <w:sz w:val="24"/>
        </w:rPr>
        <w:t xml:space="preserve">To date, there is no clearly preferred option in the south-east region. Nevertheless, the option which has most recently been put forward, Option 4, has a number of county boundary breaches which could be </w:t>
      </w:r>
      <w:r w:rsidR="00811010">
        <w:rPr>
          <w:rFonts w:ascii="Arial" w:hAnsi="Arial" w:cs="Arial"/>
          <w:sz w:val="24"/>
        </w:rPr>
        <w:t xml:space="preserve">revisited with </w:t>
      </w:r>
      <w:r>
        <w:rPr>
          <w:rFonts w:ascii="Arial" w:hAnsi="Arial" w:cs="Arial"/>
          <w:sz w:val="24"/>
        </w:rPr>
        <w:t xml:space="preserve">an approach involving a wider view of potential variances.  </w:t>
      </w:r>
    </w:p>
    <w:p w:rsidR="0066068D" w:rsidRDefault="0066068D" w:rsidP="0066068D">
      <w:pPr>
        <w:spacing w:after="0" w:line="360" w:lineRule="auto"/>
        <w:jc w:val="both"/>
        <w:rPr>
          <w:rFonts w:ascii="Arial" w:hAnsi="Arial" w:cs="Arial"/>
          <w:sz w:val="24"/>
        </w:rPr>
      </w:pPr>
    </w:p>
    <w:p w:rsidR="0066068D" w:rsidRDefault="0066068D" w:rsidP="0066068D">
      <w:pPr>
        <w:spacing w:after="0" w:line="360" w:lineRule="auto"/>
        <w:jc w:val="both"/>
        <w:rPr>
          <w:rFonts w:ascii="Arial" w:hAnsi="Arial" w:cs="Arial"/>
          <w:sz w:val="24"/>
        </w:rPr>
      </w:pPr>
      <w:r>
        <w:rPr>
          <w:rFonts w:ascii="Arial" w:hAnsi="Arial" w:cs="Arial"/>
          <w:sz w:val="24"/>
        </w:rPr>
        <w:t>Opt</w:t>
      </w:r>
      <w:r w:rsidR="00C416E7">
        <w:rPr>
          <w:rFonts w:ascii="Arial" w:hAnsi="Arial" w:cs="Arial"/>
          <w:sz w:val="24"/>
        </w:rPr>
        <w:t xml:space="preserve">ion 4 has breaches as follows: </w:t>
      </w:r>
    </w:p>
    <w:p w:rsidR="00C416E7" w:rsidRDefault="00C416E7" w:rsidP="0066068D">
      <w:pPr>
        <w:spacing w:after="0" w:line="360" w:lineRule="auto"/>
        <w:jc w:val="both"/>
        <w:rPr>
          <w:rFonts w:ascii="Arial" w:hAnsi="Arial" w:cs="Arial"/>
          <w:sz w:val="24"/>
        </w:rPr>
      </w:pPr>
    </w:p>
    <w:p w:rsidR="00C416E7" w:rsidRDefault="00C416E7" w:rsidP="0066068D">
      <w:pPr>
        <w:spacing w:after="0" w:line="360" w:lineRule="auto"/>
        <w:jc w:val="both"/>
        <w:rPr>
          <w:rFonts w:ascii="Arial" w:hAnsi="Arial" w:cs="Arial"/>
          <w:sz w:val="24"/>
        </w:rPr>
      </w:pPr>
      <w:r>
        <w:rPr>
          <w:rFonts w:ascii="Arial" w:hAnsi="Arial" w:cs="Arial"/>
          <w:sz w:val="24"/>
        </w:rPr>
        <w:t xml:space="preserve">Total population in breaches:  </w:t>
      </w:r>
      <w:r w:rsidR="00A07309">
        <w:rPr>
          <w:rFonts w:ascii="Arial" w:hAnsi="Arial" w:cs="Arial"/>
          <w:sz w:val="24"/>
        </w:rPr>
        <w:t xml:space="preserve">20,444 </w:t>
      </w:r>
    </w:p>
    <w:p w:rsidR="00C416E7" w:rsidRDefault="00C416E7" w:rsidP="0066068D">
      <w:pPr>
        <w:spacing w:after="0" w:line="360" w:lineRule="auto"/>
        <w:jc w:val="both"/>
        <w:rPr>
          <w:rFonts w:ascii="Arial" w:hAnsi="Arial" w:cs="Arial"/>
          <w:sz w:val="24"/>
        </w:rPr>
      </w:pPr>
      <w:r>
        <w:rPr>
          <w:rFonts w:ascii="Arial" w:hAnsi="Arial" w:cs="Arial"/>
          <w:sz w:val="24"/>
        </w:rPr>
        <w:t xml:space="preserve">Number of breaches: </w:t>
      </w:r>
      <w:r>
        <w:rPr>
          <w:rFonts w:ascii="Arial" w:hAnsi="Arial" w:cs="Arial"/>
          <w:sz w:val="24"/>
        </w:rPr>
        <w:tab/>
        <w:t>8</w:t>
      </w:r>
      <w:r w:rsidR="00811010">
        <w:rPr>
          <w:rFonts w:ascii="Arial" w:hAnsi="Arial" w:cs="Arial"/>
          <w:sz w:val="24"/>
        </w:rPr>
        <w:t xml:space="preserve"> </w:t>
      </w:r>
    </w:p>
    <w:p w:rsidR="00C416E7" w:rsidRDefault="00C416E7" w:rsidP="0066068D">
      <w:pPr>
        <w:spacing w:after="0" w:line="360" w:lineRule="auto"/>
        <w:jc w:val="both"/>
        <w:rPr>
          <w:rFonts w:ascii="Arial" w:hAnsi="Arial" w:cs="Arial"/>
          <w:sz w:val="24"/>
        </w:rPr>
      </w:pPr>
      <w:r>
        <w:rPr>
          <w:rFonts w:ascii="Arial" w:hAnsi="Arial" w:cs="Arial"/>
          <w:sz w:val="24"/>
        </w:rPr>
        <w:t xml:space="preserve">Counties breached: </w:t>
      </w:r>
      <w:r>
        <w:rPr>
          <w:rFonts w:ascii="Arial" w:hAnsi="Arial" w:cs="Arial"/>
          <w:sz w:val="24"/>
        </w:rPr>
        <w:tab/>
        <w:t xml:space="preserve">Carlow; Kilkenny; Laois; Waterford, Wexford and Wicklow. </w:t>
      </w:r>
    </w:p>
    <w:p w:rsidR="0066068D" w:rsidRDefault="0066068D" w:rsidP="0066068D">
      <w:pPr>
        <w:spacing w:after="0" w:line="360" w:lineRule="auto"/>
        <w:jc w:val="both"/>
        <w:rPr>
          <w:rFonts w:ascii="Arial" w:hAnsi="Arial" w:cs="Arial"/>
          <w:sz w:val="24"/>
        </w:rPr>
      </w:pPr>
    </w:p>
    <w:p w:rsidR="0066068D" w:rsidRDefault="00811010" w:rsidP="0066068D">
      <w:pPr>
        <w:spacing w:after="0" w:line="360" w:lineRule="auto"/>
        <w:jc w:val="both"/>
        <w:rPr>
          <w:rFonts w:ascii="Arial" w:hAnsi="Arial" w:cs="Arial"/>
          <w:sz w:val="24"/>
        </w:rPr>
      </w:pPr>
      <w:r>
        <w:rPr>
          <w:rFonts w:ascii="Arial" w:hAnsi="Arial" w:cs="Arial"/>
          <w:sz w:val="24"/>
        </w:rPr>
        <w:t xml:space="preserve">Option 5, which is presented in </w:t>
      </w:r>
      <w:r w:rsidRPr="0096543E">
        <w:rPr>
          <w:rFonts w:ascii="Arial" w:hAnsi="Arial" w:cs="Arial"/>
          <w:i/>
          <w:sz w:val="24"/>
        </w:rPr>
        <w:t>EC 8.2 – Further Option for the South-East region</w:t>
      </w:r>
      <w:r>
        <w:rPr>
          <w:rFonts w:ascii="Arial" w:hAnsi="Arial" w:cs="Arial"/>
          <w:sz w:val="24"/>
        </w:rPr>
        <w:t xml:space="preserve">, has breaches as follows: </w:t>
      </w:r>
    </w:p>
    <w:p w:rsidR="00811010" w:rsidRDefault="00811010" w:rsidP="0066068D">
      <w:pPr>
        <w:spacing w:after="0" w:line="360" w:lineRule="auto"/>
        <w:jc w:val="both"/>
        <w:rPr>
          <w:rFonts w:ascii="Arial" w:hAnsi="Arial" w:cs="Arial"/>
          <w:sz w:val="24"/>
        </w:rPr>
      </w:pPr>
    </w:p>
    <w:p w:rsidR="00811010" w:rsidRDefault="00811010" w:rsidP="00811010">
      <w:pPr>
        <w:spacing w:after="0" w:line="360" w:lineRule="auto"/>
        <w:jc w:val="both"/>
        <w:rPr>
          <w:rFonts w:ascii="Arial" w:hAnsi="Arial" w:cs="Arial"/>
          <w:sz w:val="24"/>
        </w:rPr>
      </w:pPr>
      <w:r>
        <w:rPr>
          <w:rFonts w:ascii="Arial" w:hAnsi="Arial" w:cs="Arial"/>
          <w:sz w:val="24"/>
        </w:rPr>
        <w:t xml:space="preserve">Total population in breaches:  6,093 </w:t>
      </w:r>
    </w:p>
    <w:p w:rsidR="00811010" w:rsidRDefault="00811010" w:rsidP="00811010">
      <w:pPr>
        <w:spacing w:after="0" w:line="360" w:lineRule="auto"/>
        <w:jc w:val="both"/>
        <w:rPr>
          <w:rFonts w:ascii="Arial" w:hAnsi="Arial" w:cs="Arial"/>
          <w:sz w:val="24"/>
        </w:rPr>
      </w:pPr>
      <w:r>
        <w:rPr>
          <w:rFonts w:ascii="Arial" w:hAnsi="Arial" w:cs="Arial"/>
          <w:sz w:val="24"/>
        </w:rPr>
        <w:t xml:space="preserve">Number of breaches: </w:t>
      </w:r>
      <w:r>
        <w:rPr>
          <w:rFonts w:ascii="Arial" w:hAnsi="Arial" w:cs="Arial"/>
          <w:sz w:val="24"/>
        </w:rPr>
        <w:tab/>
        <w:t xml:space="preserve">1 </w:t>
      </w:r>
    </w:p>
    <w:p w:rsidR="00811010" w:rsidRDefault="00811010" w:rsidP="00811010">
      <w:pPr>
        <w:spacing w:after="0" w:line="360" w:lineRule="auto"/>
        <w:jc w:val="both"/>
        <w:rPr>
          <w:rFonts w:ascii="Arial" w:hAnsi="Arial" w:cs="Arial"/>
          <w:sz w:val="24"/>
        </w:rPr>
      </w:pPr>
      <w:r>
        <w:rPr>
          <w:rFonts w:ascii="Arial" w:hAnsi="Arial" w:cs="Arial"/>
          <w:sz w:val="24"/>
        </w:rPr>
        <w:t xml:space="preserve">Counties </w:t>
      </w:r>
      <w:r w:rsidR="00526EF6">
        <w:rPr>
          <w:rFonts w:ascii="Arial" w:hAnsi="Arial" w:cs="Arial"/>
          <w:sz w:val="24"/>
        </w:rPr>
        <w:t xml:space="preserve">breached: Kilkenny.  </w:t>
      </w:r>
    </w:p>
    <w:p w:rsidR="00811010" w:rsidRDefault="00811010" w:rsidP="0066068D">
      <w:pPr>
        <w:spacing w:after="0" w:line="360" w:lineRule="auto"/>
        <w:jc w:val="both"/>
        <w:rPr>
          <w:rFonts w:ascii="Arial" w:hAnsi="Arial" w:cs="Arial"/>
          <w:sz w:val="24"/>
        </w:rPr>
      </w:pPr>
    </w:p>
    <w:p w:rsidR="00811010" w:rsidRDefault="0096543E" w:rsidP="0066068D">
      <w:pPr>
        <w:spacing w:after="0" w:line="360" w:lineRule="auto"/>
        <w:jc w:val="both"/>
        <w:rPr>
          <w:rFonts w:ascii="Arial" w:hAnsi="Arial" w:cs="Arial"/>
          <w:sz w:val="24"/>
        </w:rPr>
      </w:pPr>
      <w:r>
        <w:rPr>
          <w:rFonts w:ascii="Arial" w:hAnsi="Arial" w:cs="Arial"/>
          <w:sz w:val="24"/>
        </w:rPr>
        <w:t>Note that t</w:t>
      </w:r>
      <w:r w:rsidR="00811010">
        <w:rPr>
          <w:rFonts w:ascii="Arial" w:hAnsi="Arial" w:cs="Arial"/>
          <w:sz w:val="24"/>
        </w:rPr>
        <w:t xml:space="preserve">he division of the constituencies in the counties of Wicklow and Wexford into a 3, 4, 4 </w:t>
      </w:r>
      <w:proofErr w:type="gramStart"/>
      <w:r w:rsidR="00811010">
        <w:rPr>
          <w:rFonts w:ascii="Arial" w:hAnsi="Arial" w:cs="Arial"/>
          <w:sz w:val="24"/>
        </w:rPr>
        <w:t>configuration</w:t>
      </w:r>
      <w:proofErr w:type="gramEnd"/>
      <w:r w:rsidR="00811010">
        <w:rPr>
          <w:rFonts w:ascii="Arial" w:hAnsi="Arial" w:cs="Arial"/>
          <w:sz w:val="24"/>
        </w:rPr>
        <w:t xml:space="preserve"> </w:t>
      </w:r>
      <w:r>
        <w:rPr>
          <w:rFonts w:ascii="Arial" w:hAnsi="Arial" w:cs="Arial"/>
          <w:sz w:val="24"/>
        </w:rPr>
        <w:t>i</w:t>
      </w:r>
      <w:r w:rsidR="00811010">
        <w:rPr>
          <w:rFonts w:ascii="Arial" w:hAnsi="Arial" w:cs="Arial"/>
          <w:sz w:val="24"/>
        </w:rPr>
        <w:t>s not being taken as breaches of the count</w:t>
      </w:r>
      <w:r>
        <w:rPr>
          <w:rFonts w:ascii="Arial" w:hAnsi="Arial" w:cs="Arial"/>
          <w:sz w:val="24"/>
        </w:rPr>
        <w:t xml:space="preserve">y boundaries in this analysis. </w:t>
      </w:r>
    </w:p>
    <w:p w:rsidR="00811010" w:rsidRDefault="00811010" w:rsidP="0066068D">
      <w:pPr>
        <w:spacing w:after="0" w:line="360" w:lineRule="auto"/>
        <w:jc w:val="both"/>
        <w:rPr>
          <w:rFonts w:ascii="Arial" w:hAnsi="Arial" w:cs="Arial"/>
          <w:sz w:val="24"/>
        </w:rPr>
      </w:pPr>
    </w:p>
    <w:p w:rsidR="00811010" w:rsidRDefault="001303E4" w:rsidP="0066068D">
      <w:pPr>
        <w:spacing w:after="0" w:line="360" w:lineRule="auto"/>
        <w:jc w:val="both"/>
        <w:rPr>
          <w:rFonts w:ascii="Arial" w:hAnsi="Arial" w:cs="Arial"/>
          <w:sz w:val="24"/>
        </w:rPr>
      </w:pPr>
      <w:r>
        <w:rPr>
          <w:rFonts w:ascii="Arial" w:hAnsi="Arial" w:cs="Arial"/>
          <w:sz w:val="24"/>
        </w:rPr>
        <w:t xml:space="preserve">Option 5 is worked out on the basis of a wider view of variance, and it can be seen that there is a significantly better outcome in </w:t>
      </w:r>
      <w:r w:rsidR="00A07309">
        <w:rPr>
          <w:rFonts w:ascii="Arial" w:hAnsi="Arial" w:cs="Arial"/>
          <w:sz w:val="24"/>
        </w:rPr>
        <w:t xml:space="preserve">the </w:t>
      </w:r>
      <w:r>
        <w:rPr>
          <w:rFonts w:ascii="Arial" w:hAnsi="Arial" w:cs="Arial"/>
          <w:sz w:val="24"/>
        </w:rPr>
        <w:t xml:space="preserve">position as it pertains to breaches of county boundaries.  </w:t>
      </w:r>
    </w:p>
    <w:p w:rsidR="002E3532" w:rsidRPr="00533E5D" w:rsidRDefault="002E3532" w:rsidP="002E3532">
      <w:pPr>
        <w:spacing w:after="0" w:line="360" w:lineRule="auto"/>
        <w:jc w:val="both"/>
        <w:rPr>
          <w:rFonts w:ascii="Arial" w:hAnsi="Arial" w:cs="Arial"/>
          <w:b/>
          <w:sz w:val="24"/>
        </w:rPr>
      </w:pPr>
      <w:r>
        <w:rPr>
          <w:rFonts w:ascii="Arial" w:hAnsi="Arial" w:cs="Arial"/>
          <w:b/>
          <w:sz w:val="24"/>
        </w:rPr>
        <w:lastRenderedPageBreak/>
        <w:t>5</w:t>
      </w:r>
      <w:r w:rsidRPr="00533E5D">
        <w:rPr>
          <w:rFonts w:ascii="Arial" w:hAnsi="Arial" w:cs="Arial"/>
          <w:b/>
          <w:sz w:val="24"/>
        </w:rPr>
        <w:tab/>
      </w:r>
      <w:r>
        <w:rPr>
          <w:rFonts w:ascii="Arial" w:hAnsi="Arial" w:cs="Arial"/>
          <w:b/>
          <w:sz w:val="24"/>
        </w:rPr>
        <w:t xml:space="preserve">OVERVIEW OF POTENTIAL REDUCTIONS IN BOUNDARY BREACHES </w:t>
      </w:r>
    </w:p>
    <w:p w:rsidR="0096543E" w:rsidRDefault="0096543E" w:rsidP="0066068D">
      <w:pPr>
        <w:spacing w:after="0" w:line="360" w:lineRule="auto"/>
        <w:jc w:val="both"/>
        <w:rPr>
          <w:rFonts w:ascii="Arial" w:hAnsi="Arial" w:cs="Arial"/>
          <w:sz w:val="24"/>
        </w:rPr>
      </w:pPr>
    </w:p>
    <w:p w:rsidR="0096543E" w:rsidRDefault="002E3532" w:rsidP="0066068D">
      <w:pPr>
        <w:spacing w:after="0" w:line="360" w:lineRule="auto"/>
        <w:jc w:val="both"/>
        <w:rPr>
          <w:rFonts w:ascii="Arial" w:hAnsi="Arial" w:cs="Arial"/>
          <w:sz w:val="24"/>
        </w:rPr>
      </w:pPr>
      <w:r>
        <w:rPr>
          <w:rFonts w:ascii="Arial" w:hAnsi="Arial" w:cs="Arial"/>
          <w:sz w:val="24"/>
        </w:rPr>
        <w:t xml:space="preserve">Table 3 below </w:t>
      </w:r>
      <w:r w:rsidR="00A35BBA">
        <w:rPr>
          <w:rFonts w:ascii="Arial" w:hAnsi="Arial" w:cs="Arial"/>
          <w:sz w:val="24"/>
        </w:rPr>
        <w:t xml:space="preserve">summarises </w:t>
      </w:r>
      <w:r>
        <w:rPr>
          <w:rFonts w:ascii="Arial" w:hAnsi="Arial" w:cs="Arial"/>
          <w:sz w:val="24"/>
        </w:rPr>
        <w:t xml:space="preserve">the potential reductions in breaches of county boundaries that could be achieved on the basis of a wider view on variances. </w:t>
      </w:r>
    </w:p>
    <w:p w:rsidR="0096543E" w:rsidRDefault="0096543E" w:rsidP="0096543E">
      <w:pPr>
        <w:spacing w:after="0" w:line="360" w:lineRule="auto"/>
        <w:jc w:val="both"/>
        <w:rPr>
          <w:rFonts w:ascii="Arial" w:hAnsi="Arial" w:cs="Arial"/>
          <w:sz w:val="24"/>
        </w:rPr>
      </w:pPr>
    </w:p>
    <w:p w:rsidR="002E3532" w:rsidRDefault="002E3532" w:rsidP="0096543E">
      <w:pPr>
        <w:spacing w:after="0" w:line="360" w:lineRule="auto"/>
        <w:jc w:val="both"/>
        <w:rPr>
          <w:rFonts w:ascii="Arial" w:hAnsi="Arial" w:cs="Arial"/>
          <w:sz w:val="24"/>
        </w:rPr>
      </w:pPr>
      <w:r>
        <w:rPr>
          <w:rFonts w:ascii="Arial" w:hAnsi="Arial" w:cs="Arial"/>
          <w:sz w:val="24"/>
        </w:rPr>
        <w:t xml:space="preserve">The regions greyed out are those where improvement is not possible or not considered preferable for specific reasons.  </w:t>
      </w:r>
    </w:p>
    <w:p w:rsidR="002E3532" w:rsidRDefault="002E3532" w:rsidP="0096543E">
      <w:pPr>
        <w:spacing w:after="0" w:line="360" w:lineRule="auto"/>
        <w:jc w:val="both"/>
        <w:rPr>
          <w:rFonts w:ascii="Arial" w:hAnsi="Arial" w:cs="Arial"/>
          <w:sz w:val="24"/>
        </w:rPr>
      </w:pPr>
    </w:p>
    <w:p w:rsidR="0096543E" w:rsidRDefault="0096543E" w:rsidP="0096543E">
      <w:pPr>
        <w:spacing w:after="0" w:line="360" w:lineRule="auto"/>
        <w:jc w:val="both"/>
        <w:rPr>
          <w:rFonts w:ascii="Arial" w:hAnsi="Arial" w:cs="Arial"/>
          <w:b/>
          <w:sz w:val="24"/>
          <w:szCs w:val="24"/>
        </w:rPr>
      </w:pPr>
      <w:r w:rsidRPr="00253397">
        <w:rPr>
          <w:rFonts w:ascii="Arial" w:hAnsi="Arial" w:cs="Arial"/>
          <w:b/>
          <w:sz w:val="24"/>
          <w:szCs w:val="24"/>
        </w:rPr>
        <w:t xml:space="preserve">Table </w:t>
      </w:r>
      <w:r w:rsidR="005E6B06">
        <w:rPr>
          <w:rFonts w:ascii="Arial" w:hAnsi="Arial" w:cs="Arial"/>
          <w:b/>
          <w:sz w:val="24"/>
          <w:szCs w:val="24"/>
        </w:rPr>
        <w:t>3</w:t>
      </w:r>
      <w:r w:rsidR="002E3532">
        <w:rPr>
          <w:rFonts w:ascii="Arial" w:hAnsi="Arial" w:cs="Arial"/>
          <w:b/>
          <w:sz w:val="24"/>
          <w:szCs w:val="24"/>
        </w:rPr>
        <w:t xml:space="preserve"> – Potential improvements in boundary breaches </w:t>
      </w:r>
    </w:p>
    <w:p w:rsidR="002E3532" w:rsidRDefault="002E3532" w:rsidP="0096543E">
      <w:pPr>
        <w:spacing w:after="0" w:line="360" w:lineRule="auto"/>
        <w:jc w:val="both"/>
        <w:rPr>
          <w:rFonts w:ascii="Arial" w:hAnsi="Arial" w:cs="Arial"/>
          <w:sz w:val="24"/>
        </w:rPr>
      </w:pPr>
    </w:p>
    <w:tbl>
      <w:tblPr>
        <w:tblStyle w:val="TableGrid"/>
        <w:tblW w:w="9356" w:type="dxa"/>
        <w:tblInd w:w="-147" w:type="dxa"/>
        <w:tblLook w:val="04A0" w:firstRow="1" w:lastRow="0" w:firstColumn="1" w:lastColumn="0" w:noHBand="0" w:noVBand="1"/>
      </w:tblPr>
      <w:tblGrid>
        <w:gridCol w:w="996"/>
        <w:gridCol w:w="806"/>
        <w:gridCol w:w="1061"/>
        <w:gridCol w:w="1061"/>
        <w:gridCol w:w="1039"/>
        <w:gridCol w:w="1039"/>
        <w:gridCol w:w="1039"/>
        <w:gridCol w:w="1061"/>
        <w:gridCol w:w="1254"/>
      </w:tblGrid>
      <w:tr w:rsidR="0096543E" w:rsidTr="001303E4">
        <w:tc>
          <w:tcPr>
            <w:tcW w:w="996"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Region</w:t>
            </w:r>
          </w:p>
        </w:tc>
        <w:tc>
          <w:tcPr>
            <w:tcW w:w="806"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Option #</w:t>
            </w:r>
          </w:p>
        </w:tc>
        <w:tc>
          <w:tcPr>
            <w:tcW w:w="1061"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Breach</w:t>
            </w:r>
            <w:r>
              <w:rPr>
                <w:rFonts w:ascii="Arial" w:hAnsi="Arial" w:cs="Arial"/>
                <w:sz w:val="20"/>
              </w:rPr>
              <w:t>es</w:t>
            </w:r>
            <w:r w:rsidRPr="002D23D2">
              <w:rPr>
                <w:rFonts w:ascii="Arial" w:hAnsi="Arial" w:cs="Arial"/>
                <w:sz w:val="20"/>
              </w:rPr>
              <w:t xml:space="preserve"> restored</w:t>
            </w:r>
          </w:p>
        </w:tc>
        <w:tc>
          <w:tcPr>
            <w:tcW w:w="1061"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Breach</w:t>
            </w:r>
            <w:r>
              <w:rPr>
                <w:rFonts w:ascii="Arial" w:hAnsi="Arial" w:cs="Arial"/>
                <w:sz w:val="20"/>
              </w:rPr>
              <w:t>es</w:t>
            </w:r>
            <w:r w:rsidRPr="002D23D2">
              <w:rPr>
                <w:rFonts w:ascii="Arial" w:hAnsi="Arial" w:cs="Arial"/>
                <w:sz w:val="20"/>
              </w:rPr>
              <w:t xml:space="preserve"> not restored</w:t>
            </w:r>
          </w:p>
        </w:tc>
        <w:tc>
          <w:tcPr>
            <w:tcW w:w="1039"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Pr>
                <w:rFonts w:ascii="Arial" w:hAnsi="Arial" w:cs="Arial"/>
                <w:sz w:val="20"/>
              </w:rPr>
              <w:t>Pop</w:t>
            </w:r>
            <w:r w:rsidRPr="002D23D2">
              <w:rPr>
                <w:rFonts w:ascii="Arial" w:hAnsi="Arial" w:cs="Arial"/>
                <w:sz w:val="20"/>
              </w:rPr>
              <w:t xml:space="preserve"> of current breaches</w:t>
            </w:r>
          </w:p>
        </w:tc>
        <w:tc>
          <w:tcPr>
            <w:tcW w:w="1039"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 xml:space="preserve">Current breaches %: </w:t>
            </w:r>
          </w:p>
        </w:tc>
        <w:tc>
          <w:tcPr>
            <w:tcW w:w="1039"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Pr>
                <w:rFonts w:ascii="Arial" w:hAnsi="Arial" w:cs="Arial"/>
                <w:sz w:val="20"/>
              </w:rPr>
              <w:t>Pop</w:t>
            </w:r>
            <w:r w:rsidRPr="002D23D2">
              <w:rPr>
                <w:rFonts w:ascii="Arial" w:hAnsi="Arial" w:cs="Arial"/>
                <w:sz w:val="20"/>
              </w:rPr>
              <w:t xml:space="preserve"> of breaches in Option</w:t>
            </w:r>
          </w:p>
        </w:tc>
        <w:tc>
          <w:tcPr>
            <w:tcW w:w="1061"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B</w:t>
            </w:r>
            <w:r>
              <w:rPr>
                <w:rFonts w:ascii="Arial" w:hAnsi="Arial" w:cs="Arial"/>
                <w:sz w:val="20"/>
              </w:rPr>
              <w:t>reaches new</w:t>
            </w:r>
            <w:r w:rsidRPr="002D23D2">
              <w:rPr>
                <w:rFonts w:ascii="Arial" w:hAnsi="Arial" w:cs="Arial"/>
                <w:sz w:val="20"/>
              </w:rPr>
              <w:t xml:space="preserve"> %: </w:t>
            </w:r>
          </w:p>
        </w:tc>
        <w:tc>
          <w:tcPr>
            <w:tcW w:w="1254" w:type="dxa"/>
            <w:shd w:val="clear" w:color="auto" w:fill="D9D9D9" w:themeFill="background1" w:themeFillShade="D9"/>
          </w:tcPr>
          <w:p w:rsidR="0096543E" w:rsidRPr="002D23D2" w:rsidRDefault="0096543E" w:rsidP="001303E4">
            <w:pPr>
              <w:spacing w:line="360" w:lineRule="auto"/>
              <w:jc w:val="both"/>
              <w:rPr>
                <w:rFonts w:ascii="Arial" w:hAnsi="Arial" w:cs="Arial"/>
                <w:sz w:val="20"/>
              </w:rPr>
            </w:pPr>
            <w:r>
              <w:rPr>
                <w:rFonts w:ascii="Arial" w:hAnsi="Arial" w:cs="Arial"/>
                <w:sz w:val="20"/>
              </w:rPr>
              <w:t xml:space="preserve">Breaches reduced %: </w:t>
            </w:r>
          </w:p>
        </w:tc>
      </w:tr>
      <w:tr w:rsidR="0096543E" w:rsidTr="00296F28">
        <w:tc>
          <w:tcPr>
            <w:tcW w:w="996" w:type="dxa"/>
            <w:shd w:val="clear" w:color="auto" w:fill="D9D9D9" w:themeFill="background1" w:themeFillShade="D9"/>
            <w:vAlign w:val="center"/>
          </w:tcPr>
          <w:p w:rsidR="0096543E" w:rsidRPr="002D23D2" w:rsidRDefault="0096543E" w:rsidP="001303E4">
            <w:pPr>
              <w:spacing w:line="360" w:lineRule="auto"/>
              <w:jc w:val="both"/>
              <w:rPr>
                <w:rFonts w:ascii="Arial" w:hAnsi="Arial" w:cs="Arial"/>
                <w:sz w:val="20"/>
              </w:rPr>
            </w:pPr>
            <w:r w:rsidRPr="002D23D2">
              <w:rPr>
                <w:rFonts w:ascii="Arial" w:hAnsi="Arial" w:cs="Arial"/>
                <w:sz w:val="20"/>
              </w:rPr>
              <w:t xml:space="preserve">North </w:t>
            </w:r>
            <w:r>
              <w:rPr>
                <w:rFonts w:ascii="Arial" w:hAnsi="Arial" w:cs="Arial"/>
                <w:sz w:val="20"/>
              </w:rPr>
              <w:t>W</w:t>
            </w:r>
            <w:r w:rsidRPr="002D23D2">
              <w:rPr>
                <w:rFonts w:ascii="Arial" w:hAnsi="Arial" w:cs="Arial"/>
                <w:sz w:val="20"/>
              </w:rPr>
              <w:t>est</w:t>
            </w:r>
          </w:p>
        </w:tc>
        <w:tc>
          <w:tcPr>
            <w:tcW w:w="806"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sidRPr="002D23D2">
              <w:rPr>
                <w:rFonts w:ascii="Arial" w:hAnsi="Arial" w:cs="Arial"/>
                <w:sz w:val="20"/>
              </w:rPr>
              <w:t>1</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sidRPr="002D23D2">
              <w:rPr>
                <w:rFonts w:ascii="Arial" w:hAnsi="Arial" w:cs="Arial"/>
                <w:sz w:val="20"/>
              </w:rPr>
              <w:t>30,690</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23</w:t>
            </w:r>
            <w:r w:rsidRPr="002D23D2">
              <w:rPr>
                <w:rFonts w:ascii="Arial" w:hAnsi="Arial" w:cs="Arial"/>
                <w:sz w:val="20"/>
              </w:rPr>
              <w:t>,</w:t>
            </w:r>
            <w:r>
              <w:rPr>
                <w:rFonts w:ascii="Arial" w:hAnsi="Arial" w:cs="Arial"/>
                <w:sz w:val="20"/>
              </w:rPr>
              <w:t>757</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sidRPr="002D23D2">
              <w:rPr>
                <w:rFonts w:ascii="Arial" w:hAnsi="Arial" w:cs="Arial"/>
                <w:sz w:val="20"/>
              </w:rPr>
              <w:t>45,118</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sidRPr="002D23D2">
              <w:rPr>
                <w:rFonts w:ascii="Arial" w:hAnsi="Arial" w:cs="Arial"/>
                <w:sz w:val="20"/>
              </w:rPr>
              <w:t>5.81%</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sidRPr="002D23D2">
              <w:rPr>
                <w:rFonts w:ascii="Arial" w:hAnsi="Arial" w:cs="Arial"/>
                <w:sz w:val="20"/>
              </w:rPr>
              <w:t>14,428</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1.86%</w:t>
            </w:r>
          </w:p>
        </w:tc>
        <w:tc>
          <w:tcPr>
            <w:tcW w:w="1254"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68.0%</w:t>
            </w:r>
          </w:p>
        </w:tc>
      </w:tr>
      <w:tr w:rsidR="0096543E" w:rsidTr="00296F28">
        <w:tc>
          <w:tcPr>
            <w:tcW w:w="996" w:type="dxa"/>
            <w:shd w:val="clear" w:color="auto" w:fill="D9D9D9" w:themeFill="background1" w:themeFillShade="D9"/>
            <w:vAlign w:val="center"/>
          </w:tcPr>
          <w:p w:rsidR="0096543E" w:rsidRPr="002D23D2" w:rsidRDefault="0096543E" w:rsidP="001303E4">
            <w:pPr>
              <w:spacing w:line="360" w:lineRule="auto"/>
              <w:jc w:val="both"/>
              <w:rPr>
                <w:rFonts w:ascii="Arial" w:hAnsi="Arial" w:cs="Arial"/>
                <w:sz w:val="20"/>
              </w:rPr>
            </w:pPr>
            <w:r>
              <w:rPr>
                <w:rFonts w:ascii="Arial" w:hAnsi="Arial" w:cs="Arial"/>
                <w:sz w:val="20"/>
              </w:rPr>
              <w:t>North East</w:t>
            </w:r>
          </w:p>
        </w:tc>
        <w:tc>
          <w:tcPr>
            <w:tcW w:w="806"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25,097</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16,438</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41,535</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6.41%</w:t>
            </w:r>
          </w:p>
        </w:tc>
        <w:tc>
          <w:tcPr>
            <w:tcW w:w="1039"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16,438</w:t>
            </w:r>
          </w:p>
        </w:tc>
        <w:tc>
          <w:tcPr>
            <w:tcW w:w="1061"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2.54%</w:t>
            </w:r>
          </w:p>
        </w:tc>
        <w:tc>
          <w:tcPr>
            <w:tcW w:w="1254" w:type="dxa"/>
            <w:shd w:val="clear" w:color="auto" w:fill="D9D9D9" w:themeFill="background1" w:themeFillShade="D9"/>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60.4%</w:t>
            </w:r>
          </w:p>
        </w:tc>
      </w:tr>
      <w:tr w:rsidR="0096543E" w:rsidTr="001303E4">
        <w:tc>
          <w:tcPr>
            <w:tcW w:w="996" w:type="dxa"/>
            <w:vAlign w:val="center"/>
          </w:tcPr>
          <w:p w:rsidR="0096543E" w:rsidRPr="002D23D2" w:rsidRDefault="0096543E" w:rsidP="001303E4">
            <w:pPr>
              <w:spacing w:line="360" w:lineRule="auto"/>
              <w:jc w:val="both"/>
              <w:rPr>
                <w:rFonts w:ascii="Arial" w:hAnsi="Arial" w:cs="Arial"/>
                <w:sz w:val="20"/>
              </w:rPr>
            </w:pPr>
            <w:r>
              <w:rPr>
                <w:rFonts w:ascii="Arial" w:hAnsi="Arial" w:cs="Arial"/>
                <w:sz w:val="20"/>
              </w:rPr>
              <w:t>Dublin South</w:t>
            </w:r>
          </w:p>
        </w:tc>
        <w:tc>
          <w:tcPr>
            <w:tcW w:w="806"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3</w:t>
            </w:r>
          </w:p>
        </w:tc>
        <w:tc>
          <w:tcPr>
            <w:tcW w:w="1061" w:type="dxa"/>
            <w:vAlign w:val="center"/>
          </w:tcPr>
          <w:p w:rsidR="0096543E" w:rsidRPr="002D23D2" w:rsidRDefault="00296F28" w:rsidP="00296F28">
            <w:pPr>
              <w:spacing w:line="360" w:lineRule="auto"/>
              <w:jc w:val="center"/>
              <w:rPr>
                <w:rFonts w:ascii="Arial" w:hAnsi="Arial" w:cs="Arial"/>
                <w:sz w:val="20"/>
              </w:rPr>
            </w:pPr>
            <w:r>
              <w:rPr>
                <w:rFonts w:ascii="Arial" w:hAnsi="Arial" w:cs="Arial"/>
                <w:sz w:val="20"/>
              </w:rPr>
              <w:t>10</w:t>
            </w:r>
            <w:r w:rsidR="0096543E">
              <w:rPr>
                <w:rFonts w:ascii="Arial" w:hAnsi="Arial" w:cs="Arial"/>
                <w:sz w:val="20"/>
              </w:rPr>
              <w:t>,</w:t>
            </w:r>
            <w:r>
              <w:rPr>
                <w:rFonts w:ascii="Arial" w:hAnsi="Arial" w:cs="Arial"/>
                <w:sz w:val="20"/>
              </w:rPr>
              <w:t>732</w:t>
            </w:r>
          </w:p>
        </w:tc>
        <w:tc>
          <w:tcPr>
            <w:tcW w:w="1061"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0</w:t>
            </w:r>
          </w:p>
        </w:tc>
        <w:tc>
          <w:tcPr>
            <w:tcW w:w="1039"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10,732</w:t>
            </w:r>
          </w:p>
        </w:tc>
        <w:tc>
          <w:tcPr>
            <w:tcW w:w="1039"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1.38%</w:t>
            </w:r>
          </w:p>
        </w:tc>
        <w:tc>
          <w:tcPr>
            <w:tcW w:w="1039"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0</w:t>
            </w:r>
          </w:p>
        </w:tc>
        <w:tc>
          <w:tcPr>
            <w:tcW w:w="1061" w:type="dxa"/>
            <w:vAlign w:val="center"/>
          </w:tcPr>
          <w:p w:rsidR="0096543E" w:rsidRPr="002D23D2" w:rsidRDefault="0096543E" w:rsidP="00296F28">
            <w:pPr>
              <w:spacing w:line="360" w:lineRule="auto"/>
              <w:jc w:val="center"/>
              <w:rPr>
                <w:rFonts w:ascii="Arial" w:hAnsi="Arial" w:cs="Arial"/>
                <w:sz w:val="20"/>
              </w:rPr>
            </w:pPr>
            <w:r>
              <w:rPr>
                <w:rFonts w:ascii="Arial" w:hAnsi="Arial" w:cs="Arial"/>
                <w:sz w:val="20"/>
              </w:rPr>
              <w:t>0%</w:t>
            </w:r>
          </w:p>
        </w:tc>
        <w:tc>
          <w:tcPr>
            <w:tcW w:w="1254"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100</w:t>
            </w:r>
            <w:r w:rsidR="0096543E">
              <w:rPr>
                <w:rFonts w:ascii="Arial" w:hAnsi="Arial" w:cs="Arial"/>
                <w:sz w:val="20"/>
              </w:rPr>
              <w:t>%</w:t>
            </w:r>
          </w:p>
        </w:tc>
      </w:tr>
      <w:tr w:rsidR="0096543E" w:rsidTr="001303E4">
        <w:tc>
          <w:tcPr>
            <w:tcW w:w="996" w:type="dxa"/>
            <w:vAlign w:val="center"/>
          </w:tcPr>
          <w:p w:rsidR="0096543E" w:rsidRPr="002D23D2" w:rsidRDefault="0096543E" w:rsidP="001303E4">
            <w:pPr>
              <w:spacing w:line="360" w:lineRule="auto"/>
              <w:jc w:val="both"/>
              <w:rPr>
                <w:rFonts w:ascii="Arial" w:hAnsi="Arial" w:cs="Arial"/>
                <w:sz w:val="20"/>
              </w:rPr>
            </w:pPr>
            <w:r>
              <w:rPr>
                <w:rFonts w:ascii="Arial" w:hAnsi="Arial" w:cs="Arial"/>
                <w:sz w:val="20"/>
              </w:rPr>
              <w:t>South West</w:t>
            </w:r>
          </w:p>
        </w:tc>
        <w:tc>
          <w:tcPr>
            <w:tcW w:w="806"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1</w:t>
            </w:r>
          </w:p>
        </w:tc>
        <w:tc>
          <w:tcPr>
            <w:tcW w:w="1061"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4,674</w:t>
            </w:r>
          </w:p>
        </w:tc>
        <w:tc>
          <w:tcPr>
            <w:tcW w:w="1061"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0</w:t>
            </w:r>
          </w:p>
        </w:tc>
        <w:tc>
          <w:tcPr>
            <w:tcW w:w="1039"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4,674</w:t>
            </w:r>
          </w:p>
        </w:tc>
        <w:tc>
          <w:tcPr>
            <w:tcW w:w="1039" w:type="dxa"/>
            <w:vAlign w:val="center"/>
          </w:tcPr>
          <w:p w:rsidR="0096543E" w:rsidRPr="002D23D2" w:rsidRDefault="0096543E" w:rsidP="001303E4">
            <w:pPr>
              <w:spacing w:line="360" w:lineRule="auto"/>
              <w:jc w:val="center"/>
              <w:rPr>
                <w:rFonts w:ascii="Arial" w:hAnsi="Arial" w:cs="Arial"/>
                <w:sz w:val="20"/>
              </w:rPr>
            </w:pPr>
            <w:r>
              <w:rPr>
                <w:rFonts w:ascii="Arial" w:hAnsi="Arial" w:cs="Arial"/>
                <w:sz w:val="20"/>
              </w:rPr>
              <w:t>0.96%</w:t>
            </w:r>
          </w:p>
        </w:tc>
        <w:tc>
          <w:tcPr>
            <w:tcW w:w="1039"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0</w:t>
            </w:r>
          </w:p>
        </w:tc>
        <w:tc>
          <w:tcPr>
            <w:tcW w:w="1061"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0</w:t>
            </w:r>
            <w:r w:rsidR="0096543E">
              <w:rPr>
                <w:rFonts w:ascii="Arial" w:hAnsi="Arial" w:cs="Arial"/>
                <w:sz w:val="20"/>
              </w:rPr>
              <w:t>%</w:t>
            </w:r>
          </w:p>
        </w:tc>
        <w:tc>
          <w:tcPr>
            <w:tcW w:w="1254" w:type="dxa"/>
            <w:vAlign w:val="center"/>
          </w:tcPr>
          <w:p w:rsidR="0096543E" w:rsidRPr="002D23D2" w:rsidRDefault="00296F28" w:rsidP="001303E4">
            <w:pPr>
              <w:spacing w:line="360" w:lineRule="auto"/>
              <w:jc w:val="center"/>
              <w:rPr>
                <w:rFonts w:ascii="Arial" w:hAnsi="Arial" w:cs="Arial"/>
                <w:sz w:val="20"/>
              </w:rPr>
            </w:pPr>
            <w:r>
              <w:rPr>
                <w:rFonts w:ascii="Arial" w:hAnsi="Arial" w:cs="Arial"/>
                <w:sz w:val="20"/>
              </w:rPr>
              <w:t>100</w:t>
            </w:r>
            <w:r w:rsidR="0096543E">
              <w:rPr>
                <w:rFonts w:ascii="Arial" w:hAnsi="Arial" w:cs="Arial"/>
                <w:sz w:val="20"/>
              </w:rPr>
              <w:t>%</w:t>
            </w:r>
          </w:p>
        </w:tc>
        <w:bookmarkStart w:id="0" w:name="_GoBack"/>
        <w:bookmarkEnd w:id="0"/>
      </w:tr>
      <w:tr w:rsidR="0096543E" w:rsidTr="002E3532">
        <w:tc>
          <w:tcPr>
            <w:tcW w:w="996" w:type="dxa"/>
            <w:shd w:val="clear" w:color="auto" w:fill="D9D9D9" w:themeFill="background1" w:themeFillShade="D9"/>
            <w:vAlign w:val="center"/>
          </w:tcPr>
          <w:p w:rsidR="0096543E" w:rsidRDefault="0096543E" w:rsidP="001303E4">
            <w:pPr>
              <w:spacing w:line="360" w:lineRule="auto"/>
              <w:jc w:val="both"/>
              <w:rPr>
                <w:rFonts w:ascii="Arial" w:hAnsi="Arial" w:cs="Arial"/>
                <w:sz w:val="20"/>
              </w:rPr>
            </w:pPr>
            <w:r>
              <w:rPr>
                <w:rFonts w:ascii="Arial" w:hAnsi="Arial" w:cs="Arial"/>
                <w:sz w:val="20"/>
              </w:rPr>
              <w:t>Dublin North</w:t>
            </w:r>
          </w:p>
        </w:tc>
        <w:tc>
          <w:tcPr>
            <w:tcW w:w="806" w:type="dxa"/>
            <w:shd w:val="clear" w:color="auto" w:fill="D9D9D9" w:themeFill="background1" w:themeFillShade="D9"/>
            <w:vAlign w:val="center"/>
          </w:tcPr>
          <w:p w:rsidR="0096543E" w:rsidRDefault="00C9086D" w:rsidP="001303E4">
            <w:pPr>
              <w:spacing w:line="360" w:lineRule="auto"/>
              <w:jc w:val="center"/>
              <w:rPr>
                <w:rFonts w:ascii="Arial" w:hAnsi="Arial" w:cs="Arial"/>
                <w:sz w:val="20"/>
              </w:rPr>
            </w:pPr>
            <w:r w:rsidRPr="00C9086D">
              <w:rPr>
                <w:rFonts w:ascii="Arial" w:hAnsi="Arial" w:cs="Arial"/>
                <w:sz w:val="20"/>
              </w:rPr>
              <w:t>5</w:t>
            </w:r>
          </w:p>
        </w:tc>
        <w:tc>
          <w:tcPr>
            <w:tcW w:w="1061"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56,747</w:t>
            </w:r>
          </w:p>
        </w:tc>
        <w:tc>
          <w:tcPr>
            <w:tcW w:w="1061"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0</w:t>
            </w:r>
          </w:p>
        </w:tc>
        <w:tc>
          <w:tcPr>
            <w:tcW w:w="1039"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56,747</w:t>
            </w:r>
          </w:p>
        </w:tc>
        <w:tc>
          <w:tcPr>
            <w:tcW w:w="1039"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8.41%</w:t>
            </w:r>
          </w:p>
        </w:tc>
        <w:tc>
          <w:tcPr>
            <w:tcW w:w="1039"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0</w:t>
            </w:r>
          </w:p>
        </w:tc>
        <w:tc>
          <w:tcPr>
            <w:tcW w:w="1061"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0</w:t>
            </w:r>
            <w:r w:rsidR="00296F28">
              <w:rPr>
                <w:rFonts w:ascii="Arial" w:hAnsi="Arial" w:cs="Arial"/>
                <w:sz w:val="20"/>
              </w:rPr>
              <w:t>%</w:t>
            </w:r>
          </w:p>
        </w:tc>
        <w:tc>
          <w:tcPr>
            <w:tcW w:w="1254" w:type="dxa"/>
            <w:shd w:val="clear" w:color="auto" w:fill="D9D9D9" w:themeFill="background1" w:themeFillShade="D9"/>
            <w:vAlign w:val="center"/>
          </w:tcPr>
          <w:p w:rsidR="0096543E" w:rsidRDefault="0096543E" w:rsidP="001303E4">
            <w:pPr>
              <w:spacing w:line="360" w:lineRule="auto"/>
              <w:jc w:val="center"/>
              <w:rPr>
                <w:rFonts w:ascii="Arial" w:hAnsi="Arial" w:cs="Arial"/>
                <w:sz w:val="20"/>
              </w:rPr>
            </w:pPr>
            <w:r>
              <w:rPr>
                <w:rFonts w:ascii="Arial" w:hAnsi="Arial" w:cs="Arial"/>
                <w:sz w:val="20"/>
              </w:rPr>
              <w:t>100%</w:t>
            </w:r>
          </w:p>
        </w:tc>
      </w:tr>
      <w:tr w:rsidR="0096543E" w:rsidTr="001303E4">
        <w:tc>
          <w:tcPr>
            <w:tcW w:w="996" w:type="dxa"/>
            <w:vAlign w:val="center"/>
          </w:tcPr>
          <w:p w:rsidR="0096543E" w:rsidRDefault="00296F28" w:rsidP="001303E4">
            <w:pPr>
              <w:spacing w:line="360" w:lineRule="auto"/>
              <w:jc w:val="both"/>
              <w:rPr>
                <w:rFonts w:ascii="Arial" w:hAnsi="Arial" w:cs="Arial"/>
                <w:sz w:val="20"/>
              </w:rPr>
            </w:pPr>
            <w:r>
              <w:rPr>
                <w:rFonts w:ascii="Arial" w:hAnsi="Arial" w:cs="Arial"/>
                <w:sz w:val="20"/>
              </w:rPr>
              <w:t xml:space="preserve">South East </w:t>
            </w:r>
          </w:p>
        </w:tc>
        <w:tc>
          <w:tcPr>
            <w:tcW w:w="806" w:type="dxa"/>
            <w:vAlign w:val="center"/>
          </w:tcPr>
          <w:p w:rsidR="0096543E" w:rsidRDefault="0096543E" w:rsidP="001303E4">
            <w:pPr>
              <w:spacing w:line="360" w:lineRule="auto"/>
              <w:jc w:val="center"/>
              <w:rPr>
                <w:rFonts w:ascii="Arial" w:hAnsi="Arial" w:cs="Arial"/>
                <w:sz w:val="20"/>
              </w:rPr>
            </w:pPr>
            <w:r>
              <w:rPr>
                <w:rFonts w:ascii="Arial" w:hAnsi="Arial" w:cs="Arial"/>
                <w:sz w:val="20"/>
              </w:rPr>
              <w:t>5</w:t>
            </w:r>
          </w:p>
        </w:tc>
        <w:tc>
          <w:tcPr>
            <w:tcW w:w="1061" w:type="dxa"/>
            <w:vAlign w:val="center"/>
          </w:tcPr>
          <w:p w:rsidR="0096543E" w:rsidRDefault="0096543E" w:rsidP="001303E4">
            <w:pPr>
              <w:spacing w:line="360" w:lineRule="auto"/>
              <w:jc w:val="center"/>
              <w:rPr>
                <w:rFonts w:ascii="Arial" w:hAnsi="Arial" w:cs="Arial"/>
                <w:sz w:val="20"/>
              </w:rPr>
            </w:pPr>
            <w:r>
              <w:rPr>
                <w:rFonts w:ascii="Arial" w:hAnsi="Arial" w:cs="Arial"/>
                <w:sz w:val="20"/>
              </w:rPr>
              <w:t>17,754</w:t>
            </w:r>
          </w:p>
        </w:tc>
        <w:tc>
          <w:tcPr>
            <w:tcW w:w="1061" w:type="dxa"/>
            <w:vAlign w:val="center"/>
          </w:tcPr>
          <w:p w:rsidR="0096543E" w:rsidRDefault="0096543E" w:rsidP="001303E4">
            <w:pPr>
              <w:spacing w:line="360" w:lineRule="auto"/>
              <w:jc w:val="center"/>
              <w:rPr>
                <w:rFonts w:ascii="Arial" w:hAnsi="Arial" w:cs="Arial"/>
                <w:sz w:val="20"/>
              </w:rPr>
            </w:pPr>
            <w:r>
              <w:rPr>
                <w:rFonts w:ascii="Arial" w:hAnsi="Arial" w:cs="Arial"/>
                <w:sz w:val="20"/>
              </w:rPr>
              <w:t>0</w:t>
            </w:r>
          </w:p>
        </w:tc>
        <w:tc>
          <w:tcPr>
            <w:tcW w:w="1039" w:type="dxa"/>
            <w:vAlign w:val="center"/>
          </w:tcPr>
          <w:p w:rsidR="0096543E" w:rsidRDefault="0096543E" w:rsidP="001303E4">
            <w:pPr>
              <w:spacing w:line="360" w:lineRule="auto"/>
              <w:jc w:val="center"/>
              <w:rPr>
                <w:rFonts w:ascii="Arial" w:hAnsi="Arial" w:cs="Arial"/>
                <w:sz w:val="20"/>
              </w:rPr>
            </w:pPr>
            <w:r>
              <w:rPr>
                <w:rFonts w:ascii="Arial" w:hAnsi="Arial" w:cs="Arial"/>
                <w:sz w:val="20"/>
              </w:rPr>
              <w:t>17,754</w:t>
            </w:r>
          </w:p>
        </w:tc>
        <w:tc>
          <w:tcPr>
            <w:tcW w:w="1039" w:type="dxa"/>
            <w:vAlign w:val="center"/>
          </w:tcPr>
          <w:p w:rsidR="0096543E" w:rsidRDefault="0096543E" w:rsidP="001303E4">
            <w:pPr>
              <w:spacing w:line="360" w:lineRule="auto"/>
              <w:jc w:val="center"/>
              <w:rPr>
                <w:rFonts w:ascii="Arial" w:hAnsi="Arial" w:cs="Arial"/>
                <w:sz w:val="20"/>
              </w:rPr>
            </w:pPr>
            <w:r>
              <w:rPr>
                <w:rFonts w:ascii="Arial" w:hAnsi="Arial" w:cs="Arial"/>
                <w:sz w:val="20"/>
              </w:rPr>
              <w:t>1.48%</w:t>
            </w:r>
          </w:p>
        </w:tc>
        <w:tc>
          <w:tcPr>
            <w:tcW w:w="1039" w:type="dxa"/>
            <w:vAlign w:val="center"/>
          </w:tcPr>
          <w:p w:rsidR="0096543E" w:rsidRDefault="0096543E" w:rsidP="001303E4">
            <w:pPr>
              <w:spacing w:line="360" w:lineRule="auto"/>
              <w:jc w:val="center"/>
              <w:rPr>
                <w:rFonts w:ascii="Arial" w:hAnsi="Arial" w:cs="Arial"/>
                <w:sz w:val="20"/>
              </w:rPr>
            </w:pPr>
            <w:r>
              <w:rPr>
                <w:rFonts w:ascii="Arial" w:hAnsi="Arial" w:cs="Arial"/>
                <w:sz w:val="20"/>
              </w:rPr>
              <w:t>6,093</w:t>
            </w:r>
          </w:p>
        </w:tc>
        <w:tc>
          <w:tcPr>
            <w:tcW w:w="1061" w:type="dxa"/>
            <w:vAlign w:val="center"/>
          </w:tcPr>
          <w:p w:rsidR="0096543E" w:rsidRDefault="0096543E" w:rsidP="001303E4">
            <w:pPr>
              <w:spacing w:line="360" w:lineRule="auto"/>
              <w:jc w:val="center"/>
              <w:rPr>
                <w:rFonts w:ascii="Arial" w:hAnsi="Arial" w:cs="Arial"/>
                <w:sz w:val="20"/>
              </w:rPr>
            </w:pPr>
            <w:r>
              <w:rPr>
                <w:rFonts w:ascii="Arial" w:hAnsi="Arial" w:cs="Arial"/>
                <w:sz w:val="20"/>
              </w:rPr>
              <w:t>0.81%</w:t>
            </w:r>
          </w:p>
        </w:tc>
        <w:tc>
          <w:tcPr>
            <w:tcW w:w="1254" w:type="dxa"/>
            <w:vAlign w:val="center"/>
          </w:tcPr>
          <w:p w:rsidR="0096543E" w:rsidRDefault="0096543E" w:rsidP="001303E4">
            <w:pPr>
              <w:spacing w:line="360" w:lineRule="auto"/>
              <w:jc w:val="center"/>
              <w:rPr>
                <w:rFonts w:ascii="Arial" w:hAnsi="Arial" w:cs="Arial"/>
                <w:sz w:val="20"/>
              </w:rPr>
            </w:pPr>
            <w:r>
              <w:rPr>
                <w:rFonts w:ascii="Arial" w:hAnsi="Arial" w:cs="Arial"/>
                <w:sz w:val="20"/>
              </w:rPr>
              <w:t xml:space="preserve">65.68 </w:t>
            </w:r>
          </w:p>
        </w:tc>
      </w:tr>
      <w:tr w:rsidR="0096543E" w:rsidTr="001303E4">
        <w:tc>
          <w:tcPr>
            <w:tcW w:w="996" w:type="dxa"/>
            <w:vAlign w:val="center"/>
          </w:tcPr>
          <w:p w:rsidR="0096543E" w:rsidRDefault="0096543E" w:rsidP="001303E4">
            <w:pPr>
              <w:spacing w:line="360" w:lineRule="auto"/>
              <w:jc w:val="both"/>
              <w:rPr>
                <w:rFonts w:ascii="Arial" w:hAnsi="Arial" w:cs="Arial"/>
                <w:sz w:val="20"/>
              </w:rPr>
            </w:pPr>
            <w:r>
              <w:rPr>
                <w:rFonts w:ascii="Arial" w:hAnsi="Arial" w:cs="Arial"/>
                <w:sz w:val="20"/>
              </w:rPr>
              <w:t xml:space="preserve">Cork </w:t>
            </w:r>
          </w:p>
        </w:tc>
        <w:tc>
          <w:tcPr>
            <w:tcW w:w="806" w:type="dxa"/>
            <w:vAlign w:val="center"/>
          </w:tcPr>
          <w:p w:rsidR="0096543E" w:rsidRDefault="0096543E" w:rsidP="001303E4">
            <w:pPr>
              <w:spacing w:line="360" w:lineRule="auto"/>
              <w:jc w:val="center"/>
              <w:rPr>
                <w:rFonts w:ascii="Arial" w:hAnsi="Arial" w:cs="Arial"/>
                <w:sz w:val="20"/>
              </w:rPr>
            </w:pPr>
          </w:p>
        </w:tc>
        <w:tc>
          <w:tcPr>
            <w:tcW w:w="1061" w:type="dxa"/>
            <w:vAlign w:val="center"/>
          </w:tcPr>
          <w:p w:rsidR="0096543E" w:rsidRDefault="0096543E" w:rsidP="001303E4">
            <w:pPr>
              <w:spacing w:line="360" w:lineRule="auto"/>
              <w:jc w:val="center"/>
              <w:rPr>
                <w:rFonts w:ascii="Arial" w:hAnsi="Arial" w:cs="Arial"/>
                <w:sz w:val="20"/>
              </w:rPr>
            </w:pPr>
          </w:p>
        </w:tc>
        <w:tc>
          <w:tcPr>
            <w:tcW w:w="1061" w:type="dxa"/>
            <w:vAlign w:val="center"/>
          </w:tcPr>
          <w:p w:rsidR="0096543E" w:rsidRDefault="0096543E" w:rsidP="001303E4">
            <w:pPr>
              <w:spacing w:line="360" w:lineRule="auto"/>
              <w:jc w:val="center"/>
              <w:rPr>
                <w:rFonts w:ascii="Arial" w:hAnsi="Arial" w:cs="Arial"/>
                <w:sz w:val="20"/>
              </w:rPr>
            </w:pPr>
          </w:p>
        </w:tc>
        <w:tc>
          <w:tcPr>
            <w:tcW w:w="1039" w:type="dxa"/>
            <w:vAlign w:val="center"/>
          </w:tcPr>
          <w:p w:rsidR="0096543E" w:rsidRDefault="0096543E" w:rsidP="001303E4">
            <w:pPr>
              <w:spacing w:line="360" w:lineRule="auto"/>
              <w:jc w:val="center"/>
              <w:rPr>
                <w:rFonts w:ascii="Arial" w:hAnsi="Arial" w:cs="Arial"/>
                <w:sz w:val="20"/>
              </w:rPr>
            </w:pPr>
          </w:p>
        </w:tc>
        <w:tc>
          <w:tcPr>
            <w:tcW w:w="1039" w:type="dxa"/>
            <w:vAlign w:val="center"/>
          </w:tcPr>
          <w:p w:rsidR="0096543E" w:rsidRDefault="0096543E" w:rsidP="001303E4">
            <w:pPr>
              <w:spacing w:line="360" w:lineRule="auto"/>
              <w:jc w:val="center"/>
              <w:rPr>
                <w:rFonts w:ascii="Arial" w:hAnsi="Arial" w:cs="Arial"/>
                <w:sz w:val="20"/>
              </w:rPr>
            </w:pPr>
          </w:p>
        </w:tc>
        <w:tc>
          <w:tcPr>
            <w:tcW w:w="1039" w:type="dxa"/>
            <w:vAlign w:val="center"/>
          </w:tcPr>
          <w:p w:rsidR="0096543E" w:rsidRDefault="0096543E" w:rsidP="001303E4">
            <w:pPr>
              <w:spacing w:line="360" w:lineRule="auto"/>
              <w:jc w:val="center"/>
              <w:rPr>
                <w:rFonts w:ascii="Arial" w:hAnsi="Arial" w:cs="Arial"/>
                <w:sz w:val="20"/>
              </w:rPr>
            </w:pPr>
          </w:p>
        </w:tc>
        <w:tc>
          <w:tcPr>
            <w:tcW w:w="1061" w:type="dxa"/>
            <w:vAlign w:val="center"/>
          </w:tcPr>
          <w:p w:rsidR="0096543E" w:rsidRDefault="0096543E" w:rsidP="001303E4">
            <w:pPr>
              <w:spacing w:line="360" w:lineRule="auto"/>
              <w:jc w:val="center"/>
              <w:rPr>
                <w:rFonts w:ascii="Arial" w:hAnsi="Arial" w:cs="Arial"/>
                <w:sz w:val="20"/>
              </w:rPr>
            </w:pPr>
          </w:p>
        </w:tc>
        <w:tc>
          <w:tcPr>
            <w:tcW w:w="1254" w:type="dxa"/>
            <w:vAlign w:val="center"/>
          </w:tcPr>
          <w:p w:rsidR="0096543E" w:rsidRDefault="0096543E" w:rsidP="001303E4">
            <w:pPr>
              <w:spacing w:line="360" w:lineRule="auto"/>
              <w:jc w:val="center"/>
              <w:rPr>
                <w:rFonts w:ascii="Arial" w:hAnsi="Arial" w:cs="Arial"/>
                <w:sz w:val="20"/>
              </w:rPr>
            </w:pPr>
          </w:p>
        </w:tc>
      </w:tr>
    </w:tbl>
    <w:p w:rsidR="0096543E" w:rsidRDefault="0096543E" w:rsidP="0096543E">
      <w:pPr>
        <w:spacing w:after="0" w:line="360" w:lineRule="auto"/>
        <w:jc w:val="both"/>
        <w:rPr>
          <w:rFonts w:ascii="Arial" w:hAnsi="Arial" w:cs="Arial"/>
          <w:sz w:val="24"/>
        </w:rPr>
      </w:pPr>
    </w:p>
    <w:p w:rsidR="0096543E" w:rsidRDefault="002E3532" w:rsidP="0066068D">
      <w:pPr>
        <w:spacing w:after="0" w:line="360" w:lineRule="auto"/>
        <w:jc w:val="both"/>
        <w:rPr>
          <w:rFonts w:ascii="Arial" w:hAnsi="Arial" w:cs="Arial"/>
          <w:sz w:val="24"/>
        </w:rPr>
      </w:pPr>
      <w:r>
        <w:rPr>
          <w:rFonts w:ascii="Arial" w:hAnsi="Arial" w:cs="Arial"/>
          <w:sz w:val="24"/>
        </w:rPr>
        <w:t xml:space="preserve">It can be seen that there is scope to have no breaches in the Dublin South and the South-west regions, as compared to previously preferred options.  </w:t>
      </w:r>
    </w:p>
    <w:p w:rsidR="002E3532" w:rsidRDefault="002E3532" w:rsidP="0066068D">
      <w:pPr>
        <w:spacing w:after="0" w:line="360" w:lineRule="auto"/>
        <w:jc w:val="both"/>
        <w:rPr>
          <w:rFonts w:ascii="Arial" w:hAnsi="Arial" w:cs="Arial"/>
          <w:sz w:val="24"/>
        </w:rPr>
      </w:pPr>
    </w:p>
    <w:p w:rsidR="002E3532" w:rsidRDefault="002E3532" w:rsidP="0066068D">
      <w:pPr>
        <w:spacing w:after="0" w:line="360" w:lineRule="auto"/>
        <w:jc w:val="both"/>
        <w:rPr>
          <w:rFonts w:ascii="Arial" w:hAnsi="Arial" w:cs="Arial"/>
          <w:sz w:val="24"/>
        </w:rPr>
      </w:pPr>
      <w:r>
        <w:rPr>
          <w:rFonts w:ascii="Arial" w:hAnsi="Arial" w:cs="Arial"/>
          <w:sz w:val="24"/>
        </w:rPr>
        <w:t xml:space="preserve">The south-east also provides a </w:t>
      </w:r>
      <w:r w:rsidR="00A35BBA">
        <w:rPr>
          <w:rFonts w:ascii="Arial" w:hAnsi="Arial" w:cs="Arial"/>
          <w:sz w:val="24"/>
        </w:rPr>
        <w:t xml:space="preserve">much </w:t>
      </w:r>
      <w:r>
        <w:rPr>
          <w:rFonts w:ascii="Arial" w:hAnsi="Arial" w:cs="Arial"/>
          <w:sz w:val="24"/>
        </w:rPr>
        <w:t xml:space="preserve">better solution in terms of breaches, although bearing in mind that this approach excludes the counting of the configuration of the new Wicklow-Wexford constituency as any kind of breach.  </w:t>
      </w:r>
    </w:p>
    <w:p w:rsidR="0096543E" w:rsidRDefault="0096543E" w:rsidP="0066068D">
      <w:pPr>
        <w:spacing w:after="0" w:line="360" w:lineRule="auto"/>
        <w:jc w:val="both"/>
        <w:rPr>
          <w:rFonts w:ascii="Arial" w:hAnsi="Arial" w:cs="Arial"/>
          <w:sz w:val="24"/>
        </w:rPr>
      </w:pPr>
    </w:p>
    <w:p w:rsidR="002E3532" w:rsidRDefault="002E3532" w:rsidP="0066068D">
      <w:pPr>
        <w:spacing w:after="0" w:line="360" w:lineRule="auto"/>
        <w:jc w:val="both"/>
        <w:rPr>
          <w:rFonts w:ascii="Arial" w:hAnsi="Arial" w:cs="Arial"/>
          <w:sz w:val="24"/>
        </w:rPr>
      </w:pPr>
    </w:p>
    <w:p w:rsidR="002E3532" w:rsidRDefault="002E3532" w:rsidP="0066068D">
      <w:pPr>
        <w:spacing w:after="0" w:line="360" w:lineRule="auto"/>
        <w:jc w:val="both"/>
        <w:rPr>
          <w:rFonts w:ascii="Arial" w:hAnsi="Arial" w:cs="Arial"/>
          <w:sz w:val="24"/>
        </w:rPr>
      </w:pPr>
    </w:p>
    <w:p w:rsidR="002E3532" w:rsidRDefault="002E3532" w:rsidP="0066068D">
      <w:pPr>
        <w:spacing w:after="0" w:line="360" w:lineRule="auto"/>
        <w:jc w:val="both"/>
        <w:rPr>
          <w:rFonts w:ascii="Arial" w:hAnsi="Arial" w:cs="Arial"/>
          <w:sz w:val="24"/>
        </w:rPr>
      </w:pPr>
    </w:p>
    <w:p w:rsidR="002E3532" w:rsidRDefault="002E3532" w:rsidP="0066068D">
      <w:pPr>
        <w:spacing w:after="0" w:line="360" w:lineRule="auto"/>
        <w:jc w:val="both"/>
        <w:rPr>
          <w:rFonts w:ascii="Arial" w:hAnsi="Arial" w:cs="Arial"/>
          <w:sz w:val="24"/>
        </w:rPr>
      </w:pPr>
      <w:r>
        <w:rPr>
          <w:rFonts w:ascii="Arial" w:hAnsi="Arial" w:cs="Arial"/>
          <w:sz w:val="24"/>
        </w:rPr>
        <w:t xml:space="preserve">In summary, </w:t>
      </w:r>
      <w:r w:rsidR="00526EF6">
        <w:rPr>
          <w:rFonts w:ascii="Arial" w:hAnsi="Arial" w:cs="Arial"/>
          <w:sz w:val="24"/>
        </w:rPr>
        <w:t xml:space="preserve">taking a wider view of variances potentially removes breaches in the following: </w:t>
      </w:r>
    </w:p>
    <w:p w:rsidR="00526EF6" w:rsidRDefault="00526EF6" w:rsidP="0066068D">
      <w:pPr>
        <w:spacing w:after="0" w:line="360" w:lineRule="auto"/>
        <w:jc w:val="both"/>
        <w:rPr>
          <w:rFonts w:ascii="Arial" w:hAnsi="Arial" w:cs="Arial"/>
          <w:sz w:val="24"/>
        </w:rPr>
      </w:pPr>
    </w:p>
    <w:p w:rsidR="00526EF6" w:rsidRDefault="00526EF6" w:rsidP="0066068D">
      <w:pPr>
        <w:spacing w:after="0" w:line="360" w:lineRule="auto"/>
        <w:jc w:val="both"/>
        <w:rPr>
          <w:rFonts w:ascii="Arial" w:hAnsi="Arial" w:cs="Arial"/>
          <w:sz w:val="24"/>
        </w:rPr>
      </w:pPr>
      <w:r>
        <w:rPr>
          <w:rFonts w:ascii="Arial" w:hAnsi="Arial" w:cs="Arial"/>
          <w:sz w:val="24"/>
        </w:rPr>
        <w:t xml:space="preserve">South Dublin; </w:t>
      </w:r>
    </w:p>
    <w:p w:rsidR="00526EF6" w:rsidRDefault="00526EF6" w:rsidP="0066068D">
      <w:pPr>
        <w:spacing w:after="0" w:line="360" w:lineRule="auto"/>
        <w:jc w:val="both"/>
        <w:rPr>
          <w:rFonts w:ascii="Arial" w:hAnsi="Arial" w:cs="Arial"/>
          <w:sz w:val="24"/>
        </w:rPr>
      </w:pPr>
      <w:r>
        <w:rPr>
          <w:rFonts w:ascii="Arial" w:hAnsi="Arial" w:cs="Arial"/>
          <w:sz w:val="24"/>
        </w:rPr>
        <w:t xml:space="preserve">Clare; </w:t>
      </w:r>
    </w:p>
    <w:p w:rsidR="00526EF6" w:rsidRDefault="00526EF6" w:rsidP="0066068D">
      <w:pPr>
        <w:spacing w:after="0" w:line="360" w:lineRule="auto"/>
        <w:jc w:val="both"/>
        <w:rPr>
          <w:rFonts w:ascii="Arial" w:hAnsi="Arial" w:cs="Arial"/>
          <w:sz w:val="24"/>
        </w:rPr>
      </w:pPr>
      <w:r>
        <w:rPr>
          <w:rFonts w:ascii="Arial" w:hAnsi="Arial" w:cs="Arial"/>
          <w:sz w:val="24"/>
        </w:rPr>
        <w:t xml:space="preserve">Waterford; </w:t>
      </w:r>
    </w:p>
    <w:p w:rsidR="00526EF6" w:rsidRDefault="00526EF6" w:rsidP="0066068D">
      <w:pPr>
        <w:spacing w:after="0" w:line="360" w:lineRule="auto"/>
        <w:jc w:val="both"/>
        <w:rPr>
          <w:rFonts w:ascii="Arial" w:hAnsi="Arial" w:cs="Arial"/>
          <w:sz w:val="24"/>
        </w:rPr>
      </w:pPr>
      <w:r>
        <w:rPr>
          <w:rFonts w:ascii="Arial" w:hAnsi="Arial" w:cs="Arial"/>
          <w:sz w:val="24"/>
        </w:rPr>
        <w:t>Laois;</w:t>
      </w:r>
    </w:p>
    <w:p w:rsidR="00526EF6" w:rsidRDefault="00526EF6" w:rsidP="0066068D">
      <w:pPr>
        <w:spacing w:after="0" w:line="360" w:lineRule="auto"/>
        <w:jc w:val="both"/>
        <w:rPr>
          <w:rFonts w:ascii="Arial" w:hAnsi="Arial" w:cs="Arial"/>
          <w:sz w:val="24"/>
        </w:rPr>
      </w:pPr>
      <w:r>
        <w:rPr>
          <w:rFonts w:ascii="Arial" w:hAnsi="Arial" w:cs="Arial"/>
          <w:sz w:val="24"/>
        </w:rPr>
        <w:t xml:space="preserve">Carlow and </w:t>
      </w:r>
    </w:p>
    <w:p w:rsidR="00526EF6" w:rsidRDefault="00526EF6" w:rsidP="0066068D">
      <w:pPr>
        <w:spacing w:after="0" w:line="360" w:lineRule="auto"/>
        <w:jc w:val="both"/>
        <w:rPr>
          <w:rFonts w:ascii="Arial" w:hAnsi="Arial" w:cs="Arial"/>
          <w:sz w:val="24"/>
        </w:rPr>
      </w:pPr>
      <w:r>
        <w:rPr>
          <w:rFonts w:ascii="Arial" w:hAnsi="Arial" w:cs="Arial"/>
          <w:sz w:val="24"/>
        </w:rPr>
        <w:t xml:space="preserve">Wicklow. </w:t>
      </w:r>
    </w:p>
    <w:p w:rsidR="002E3532" w:rsidRDefault="002E3532" w:rsidP="0066068D">
      <w:pPr>
        <w:spacing w:after="0" w:line="360" w:lineRule="auto"/>
        <w:jc w:val="both"/>
        <w:rPr>
          <w:rFonts w:ascii="Arial" w:hAnsi="Arial" w:cs="Arial"/>
          <w:sz w:val="24"/>
        </w:rPr>
      </w:pPr>
    </w:p>
    <w:p w:rsidR="002E3532" w:rsidRDefault="00526EF6" w:rsidP="0066068D">
      <w:pPr>
        <w:spacing w:after="0" w:line="360" w:lineRule="auto"/>
        <w:jc w:val="both"/>
        <w:rPr>
          <w:rFonts w:ascii="Arial" w:hAnsi="Arial" w:cs="Arial"/>
          <w:sz w:val="24"/>
        </w:rPr>
      </w:pPr>
      <w:r>
        <w:rPr>
          <w:rFonts w:ascii="Arial" w:hAnsi="Arial" w:cs="Arial"/>
          <w:sz w:val="24"/>
        </w:rPr>
        <w:t>Nationwide, the result would be that out of the 29 local authority areas (excludes Cork</w:t>
      </w:r>
      <w:r w:rsidR="00A35BBA">
        <w:rPr>
          <w:rFonts w:ascii="Arial" w:hAnsi="Arial" w:cs="Arial"/>
          <w:sz w:val="24"/>
        </w:rPr>
        <w:t xml:space="preserve"> City and Cork County</w:t>
      </w:r>
      <w:r>
        <w:rPr>
          <w:rFonts w:ascii="Arial" w:hAnsi="Arial" w:cs="Arial"/>
          <w:sz w:val="24"/>
        </w:rPr>
        <w:t xml:space="preserve">), there would be breaches in the following: </w:t>
      </w:r>
    </w:p>
    <w:p w:rsidR="00526EF6" w:rsidRDefault="00526EF6" w:rsidP="0066068D">
      <w:pPr>
        <w:spacing w:after="0" w:line="360" w:lineRule="auto"/>
        <w:jc w:val="both"/>
        <w:rPr>
          <w:rFonts w:ascii="Arial" w:hAnsi="Arial" w:cs="Arial"/>
          <w:sz w:val="24"/>
        </w:rPr>
      </w:pPr>
    </w:p>
    <w:p w:rsidR="00526EF6" w:rsidRDefault="00526EF6" w:rsidP="0066068D">
      <w:pPr>
        <w:spacing w:after="0" w:line="360" w:lineRule="auto"/>
        <w:jc w:val="both"/>
        <w:rPr>
          <w:rFonts w:ascii="Arial" w:hAnsi="Arial" w:cs="Arial"/>
          <w:sz w:val="24"/>
        </w:rPr>
      </w:pPr>
      <w:r>
        <w:rPr>
          <w:rFonts w:ascii="Arial" w:hAnsi="Arial" w:cs="Arial"/>
          <w:sz w:val="24"/>
        </w:rPr>
        <w:t xml:space="preserve">Donegal; </w:t>
      </w:r>
    </w:p>
    <w:p w:rsidR="00526EF6" w:rsidRDefault="00526EF6" w:rsidP="0066068D">
      <w:pPr>
        <w:spacing w:after="0" w:line="360" w:lineRule="auto"/>
        <w:jc w:val="both"/>
        <w:rPr>
          <w:rFonts w:ascii="Arial" w:hAnsi="Arial" w:cs="Arial"/>
          <w:sz w:val="24"/>
        </w:rPr>
      </w:pPr>
      <w:r>
        <w:rPr>
          <w:rFonts w:ascii="Arial" w:hAnsi="Arial" w:cs="Arial"/>
          <w:sz w:val="24"/>
        </w:rPr>
        <w:t>Galway;</w:t>
      </w:r>
    </w:p>
    <w:p w:rsidR="00526EF6" w:rsidRDefault="00526EF6" w:rsidP="0066068D">
      <w:pPr>
        <w:spacing w:after="0" w:line="360" w:lineRule="auto"/>
        <w:jc w:val="both"/>
        <w:rPr>
          <w:rFonts w:ascii="Arial" w:hAnsi="Arial" w:cs="Arial"/>
          <w:sz w:val="24"/>
        </w:rPr>
      </w:pPr>
      <w:r>
        <w:rPr>
          <w:rFonts w:ascii="Arial" w:hAnsi="Arial" w:cs="Arial"/>
          <w:sz w:val="24"/>
        </w:rPr>
        <w:t xml:space="preserve">Meath and </w:t>
      </w:r>
    </w:p>
    <w:p w:rsidR="00526EF6" w:rsidRDefault="00526EF6" w:rsidP="0066068D">
      <w:pPr>
        <w:spacing w:after="0" w:line="360" w:lineRule="auto"/>
        <w:jc w:val="both"/>
        <w:rPr>
          <w:rFonts w:ascii="Arial" w:hAnsi="Arial" w:cs="Arial"/>
          <w:sz w:val="24"/>
        </w:rPr>
      </w:pPr>
      <w:r>
        <w:rPr>
          <w:rFonts w:ascii="Arial" w:hAnsi="Arial" w:cs="Arial"/>
          <w:sz w:val="24"/>
        </w:rPr>
        <w:t xml:space="preserve">Kilkenny.  </w:t>
      </w:r>
    </w:p>
    <w:p w:rsidR="00526EF6" w:rsidRDefault="00526EF6" w:rsidP="0066068D">
      <w:pPr>
        <w:spacing w:after="0" w:line="360" w:lineRule="auto"/>
        <w:jc w:val="both"/>
        <w:rPr>
          <w:rFonts w:ascii="Arial" w:hAnsi="Arial" w:cs="Arial"/>
          <w:sz w:val="24"/>
        </w:rPr>
      </w:pPr>
    </w:p>
    <w:p w:rsidR="00526EF6" w:rsidRDefault="00526EF6" w:rsidP="0066068D">
      <w:pPr>
        <w:spacing w:after="0" w:line="360" w:lineRule="auto"/>
        <w:jc w:val="both"/>
        <w:rPr>
          <w:rFonts w:ascii="Arial" w:hAnsi="Arial" w:cs="Arial"/>
          <w:sz w:val="24"/>
        </w:rPr>
      </w:pPr>
      <w:r>
        <w:rPr>
          <w:rFonts w:ascii="Arial" w:hAnsi="Arial" w:cs="Arial"/>
          <w:sz w:val="24"/>
        </w:rPr>
        <w:t xml:space="preserve">It is a matter of definition as to whether Wicklow and Wexford could also be considered breached in this analysis. </w:t>
      </w:r>
    </w:p>
    <w:p w:rsidR="00526EF6" w:rsidRDefault="00526EF6" w:rsidP="0066068D">
      <w:pPr>
        <w:spacing w:after="0" w:line="360" w:lineRule="auto"/>
        <w:jc w:val="both"/>
        <w:rPr>
          <w:rFonts w:ascii="Arial" w:hAnsi="Arial" w:cs="Arial"/>
          <w:sz w:val="24"/>
        </w:rPr>
      </w:pPr>
    </w:p>
    <w:p w:rsidR="00A07309" w:rsidRDefault="00A07309" w:rsidP="00A07309">
      <w:pPr>
        <w:spacing w:after="0" w:line="360" w:lineRule="auto"/>
        <w:jc w:val="center"/>
        <w:rPr>
          <w:rFonts w:ascii="Arial" w:hAnsi="Arial" w:cs="Arial"/>
          <w:sz w:val="24"/>
        </w:rPr>
      </w:pPr>
      <w:r>
        <w:rPr>
          <w:rFonts w:ascii="Arial" w:hAnsi="Arial" w:cs="Arial"/>
          <w:sz w:val="24"/>
        </w:rPr>
        <w:t>_______________________</w:t>
      </w:r>
    </w:p>
    <w:p w:rsidR="00A07309" w:rsidRDefault="00A07309" w:rsidP="00A35BBA">
      <w:pPr>
        <w:spacing w:after="0" w:line="360" w:lineRule="auto"/>
        <w:jc w:val="both"/>
        <w:rPr>
          <w:rFonts w:ascii="Arial" w:hAnsi="Arial" w:cs="Arial"/>
          <w:sz w:val="24"/>
        </w:rPr>
      </w:pPr>
    </w:p>
    <w:p w:rsidR="00A35BBA" w:rsidRDefault="00A35BBA" w:rsidP="00A35BBA">
      <w:pPr>
        <w:spacing w:after="0" w:line="360" w:lineRule="auto"/>
        <w:jc w:val="both"/>
        <w:rPr>
          <w:rFonts w:ascii="Arial" w:hAnsi="Arial" w:cs="Arial"/>
          <w:sz w:val="24"/>
        </w:rPr>
      </w:pPr>
    </w:p>
    <w:sectPr w:rsidR="00A35B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E4" w:rsidRDefault="001303E4" w:rsidP="009663DA">
      <w:pPr>
        <w:spacing w:after="0" w:line="240" w:lineRule="auto"/>
      </w:pPr>
      <w:r>
        <w:separator/>
      </w:r>
    </w:p>
  </w:endnote>
  <w:endnote w:type="continuationSeparator" w:id="0">
    <w:p w:rsidR="001303E4" w:rsidRDefault="001303E4"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EndPr/>
    <w:sdtContent>
      <w:sdt>
        <w:sdtPr>
          <w:id w:val="1728636285"/>
          <w:docPartObj>
            <w:docPartGallery w:val="Page Numbers (Top of Page)"/>
            <w:docPartUnique/>
          </w:docPartObj>
        </w:sdtPr>
        <w:sdtEndPr/>
        <w:sdtContent>
          <w:p w:rsidR="001303E4" w:rsidRDefault="001303E4"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086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086D">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E4" w:rsidRDefault="001303E4" w:rsidP="009663DA">
      <w:pPr>
        <w:spacing w:after="0" w:line="240" w:lineRule="auto"/>
      </w:pPr>
      <w:r>
        <w:separator/>
      </w:r>
    </w:p>
  </w:footnote>
  <w:footnote w:type="continuationSeparator" w:id="0">
    <w:p w:rsidR="001303E4" w:rsidRDefault="001303E4"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3E4" w:rsidRDefault="001303E4" w:rsidP="006D0306">
    <w:pPr>
      <w:pStyle w:val="Header"/>
      <w:rPr>
        <w:rFonts w:ascii="Arial" w:hAnsi="Arial" w:cs="Arial"/>
        <w:b/>
        <w:sz w:val="24"/>
      </w:rPr>
    </w:pPr>
    <w:r>
      <w:rPr>
        <w:rFonts w:ascii="Arial" w:hAnsi="Arial" w:cs="Arial"/>
        <w:b/>
        <w:sz w:val="24"/>
      </w:rPr>
      <w:t xml:space="preserve">Options Overview Paper </w:t>
    </w:r>
    <w:r>
      <w:rPr>
        <w:rFonts w:ascii="Arial" w:hAnsi="Arial" w:cs="Arial"/>
        <w:b/>
        <w:sz w:val="24"/>
      </w:rPr>
      <w:tab/>
    </w:r>
    <w:r>
      <w:rPr>
        <w:rFonts w:ascii="Arial" w:hAnsi="Arial" w:cs="Arial"/>
        <w:b/>
        <w:sz w:val="24"/>
      </w:rPr>
      <w:tab/>
      <w:t>EC 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B39"/>
    <w:multiLevelType w:val="hybridMultilevel"/>
    <w:tmpl w:val="C5782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87487F"/>
    <w:multiLevelType w:val="hybridMultilevel"/>
    <w:tmpl w:val="FF80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2F61C5"/>
    <w:multiLevelType w:val="hybridMultilevel"/>
    <w:tmpl w:val="09F2F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D5B23B5"/>
    <w:multiLevelType w:val="hybridMultilevel"/>
    <w:tmpl w:val="3B848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5301"/>
    <w:rsid w:val="00007DD4"/>
    <w:rsid w:val="00010E1F"/>
    <w:rsid w:val="00010F67"/>
    <w:rsid w:val="000273A9"/>
    <w:rsid w:val="00043069"/>
    <w:rsid w:val="0006181E"/>
    <w:rsid w:val="00065798"/>
    <w:rsid w:val="00071930"/>
    <w:rsid w:val="00080364"/>
    <w:rsid w:val="00080543"/>
    <w:rsid w:val="000826A8"/>
    <w:rsid w:val="000B6156"/>
    <w:rsid w:val="000C2183"/>
    <w:rsid w:val="000C2FAE"/>
    <w:rsid w:val="000C4068"/>
    <w:rsid w:val="000D3C61"/>
    <w:rsid w:val="000E09C9"/>
    <w:rsid w:val="000E33FE"/>
    <w:rsid w:val="000E68A4"/>
    <w:rsid w:val="000F064C"/>
    <w:rsid w:val="000F61A6"/>
    <w:rsid w:val="00121CD9"/>
    <w:rsid w:val="001303E4"/>
    <w:rsid w:val="001313B9"/>
    <w:rsid w:val="00134BC4"/>
    <w:rsid w:val="001371D5"/>
    <w:rsid w:val="00143CFA"/>
    <w:rsid w:val="00145BD4"/>
    <w:rsid w:val="00155F0C"/>
    <w:rsid w:val="001602EC"/>
    <w:rsid w:val="00160663"/>
    <w:rsid w:val="001657BA"/>
    <w:rsid w:val="00174626"/>
    <w:rsid w:val="0017532D"/>
    <w:rsid w:val="00175D1E"/>
    <w:rsid w:val="00176C16"/>
    <w:rsid w:val="00182ACB"/>
    <w:rsid w:val="00184C09"/>
    <w:rsid w:val="001966FB"/>
    <w:rsid w:val="001B468C"/>
    <w:rsid w:val="001C1E0A"/>
    <w:rsid w:val="001C2F1B"/>
    <w:rsid w:val="001C680C"/>
    <w:rsid w:val="001D05D5"/>
    <w:rsid w:val="001D545B"/>
    <w:rsid w:val="001E0855"/>
    <w:rsid w:val="001E3285"/>
    <w:rsid w:val="001E678B"/>
    <w:rsid w:val="001F1432"/>
    <w:rsid w:val="001F2A7E"/>
    <w:rsid w:val="002023D7"/>
    <w:rsid w:val="0020485A"/>
    <w:rsid w:val="00207B3D"/>
    <w:rsid w:val="00210E22"/>
    <w:rsid w:val="0021607A"/>
    <w:rsid w:val="00224C08"/>
    <w:rsid w:val="00237158"/>
    <w:rsid w:val="00257377"/>
    <w:rsid w:val="0027790B"/>
    <w:rsid w:val="00286494"/>
    <w:rsid w:val="002968E0"/>
    <w:rsid w:val="00296F28"/>
    <w:rsid w:val="002B6FB4"/>
    <w:rsid w:val="002C15AE"/>
    <w:rsid w:val="002C4E10"/>
    <w:rsid w:val="002D23D2"/>
    <w:rsid w:val="002D7E0A"/>
    <w:rsid w:val="002E11DE"/>
    <w:rsid w:val="002E3532"/>
    <w:rsid w:val="002E4C17"/>
    <w:rsid w:val="002F4B63"/>
    <w:rsid w:val="0030126C"/>
    <w:rsid w:val="00301F18"/>
    <w:rsid w:val="0031605F"/>
    <w:rsid w:val="0032683D"/>
    <w:rsid w:val="00334535"/>
    <w:rsid w:val="003511F7"/>
    <w:rsid w:val="0035526A"/>
    <w:rsid w:val="00364C80"/>
    <w:rsid w:val="00390C7E"/>
    <w:rsid w:val="003B5FAD"/>
    <w:rsid w:val="003C0DB6"/>
    <w:rsid w:val="003C2C17"/>
    <w:rsid w:val="003C444F"/>
    <w:rsid w:val="003E0AEB"/>
    <w:rsid w:val="003E1821"/>
    <w:rsid w:val="003E2C0E"/>
    <w:rsid w:val="003F05F2"/>
    <w:rsid w:val="003F2D67"/>
    <w:rsid w:val="00425264"/>
    <w:rsid w:val="004358AF"/>
    <w:rsid w:val="004645F5"/>
    <w:rsid w:val="004670A6"/>
    <w:rsid w:val="00474EB0"/>
    <w:rsid w:val="00482B1F"/>
    <w:rsid w:val="00484B6E"/>
    <w:rsid w:val="0048543C"/>
    <w:rsid w:val="00492B26"/>
    <w:rsid w:val="00496CF3"/>
    <w:rsid w:val="004A732F"/>
    <w:rsid w:val="004B2243"/>
    <w:rsid w:val="004C0A2E"/>
    <w:rsid w:val="004E0946"/>
    <w:rsid w:val="00500B69"/>
    <w:rsid w:val="00505AD1"/>
    <w:rsid w:val="00510C2C"/>
    <w:rsid w:val="00511DA0"/>
    <w:rsid w:val="0051249D"/>
    <w:rsid w:val="00524E4B"/>
    <w:rsid w:val="0052564B"/>
    <w:rsid w:val="00526EF6"/>
    <w:rsid w:val="0053224B"/>
    <w:rsid w:val="00533E5D"/>
    <w:rsid w:val="005423FC"/>
    <w:rsid w:val="00542B65"/>
    <w:rsid w:val="005474F0"/>
    <w:rsid w:val="005570B3"/>
    <w:rsid w:val="005630E0"/>
    <w:rsid w:val="00563BE3"/>
    <w:rsid w:val="00581832"/>
    <w:rsid w:val="005923E3"/>
    <w:rsid w:val="0059422A"/>
    <w:rsid w:val="0059687E"/>
    <w:rsid w:val="005969F3"/>
    <w:rsid w:val="005A141B"/>
    <w:rsid w:val="005A47FE"/>
    <w:rsid w:val="005C368F"/>
    <w:rsid w:val="005C6D79"/>
    <w:rsid w:val="005D707D"/>
    <w:rsid w:val="005E6B06"/>
    <w:rsid w:val="005F3989"/>
    <w:rsid w:val="005F6481"/>
    <w:rsid w:val="00600742"/>
    <w:rsid w:val="0060081E"/>
    <w:rsid w:val="00604C86"/>
    <w:rsid w:val="00606EAE"/>
    <w:rsid w:val="0062239B"/>
    <w:rsid w:val="006313D6"/>
    <w:rsid w:val="0064074F"/>
    <w:rsid w:val="006461DC"/>
    <w:rsid w:val="0066068D"/>
    <w:rsid w:val="006652A0"/>
    <w:rsid w:val="00665452"/>
    <w:rsid w:val="00665F0F"/>
    <w:rsid w:val="006779E3"/>
    <w:rsid w:val="00686865"/>
    <w:rsid w:val="00690D5A"/>
    <w:rsid w:val="006A3DB2"/>
    <w:rsid w:val="006B1FE7"/>
    <w:rsid w:val="006C7B65"/>
    <w:rsid w:val="006D0306"/>
    <w:rsid w:val="006D218D"/>
    <w:rsid w:val="006D2B4A"/>
    <w:rsid w:val="006D555F"/>
    <w:rsid w:val="006D7CAE"/>
    <w:rsid w:val="006F7073"/>
    <w:rsid w:val="00715EC0"/>
    <w:rsid w:val="00743CB2"/>
    <w:rsid w:val="00746A95"/>
    <w:rsid w:val="00753AEF"/>
    <w:rsid w:val="007572BE"/>
    <w:rsid w:val="0076131B"/>
    <w:rsid w:val="0077316E"/>
    <w:rsid w:val="00774ED7"/>
    <w:rsid w:val="0079735C"/>
    <w:rsid w:val="007B2C5E"/>
    <w:rsid w:val="007B46D6"/>
    <w:rsid w:val="007C0B0D"/>
    <w:rsid w:val="007C1E98"/>
    <w:rsid w:val="007E3BE6"/>
    <w:rsid w:val="007E7157"/>
    <w:rsid w:val="007F032A"/>
    <w:rsid w:val="00811010"/>
    <w:rsid w:val="00815255"/>
    <w:rsid w:val="00815710"/>
    <w:rsid w:val="0081694C"/>
    <w:rsid w:val="0082583F"/>
    <w:rsid w:val="00825D24"/>
    <w:rsid w:val="0082664B"/>
    <w:rsid w:val="00826819"/>
    <w:rsid w:val="008526D5"/>
    <w:rsid w:val="00860AD2"/>
    <w:rsid w:val="00861F6E"/>
    <w:rsid w:val="008627F8"/>
    <w:rsid w:val="00871013"/>
    <w:rsid w:val="008809C9"/>
    <w:rsid w:val="008A5C86"/>
    <w:rsid w:val="008B2C9B"/>
    <w:rsid w:val="008B2D7B"/>
    <w:rsid w:val="008C567B"/>
    <w:rsid w:val="008D7F08"/>
    <w:rsid w:val="0090137C"/>
    <w:rsid w:val="00906967"/>
    <w:rsid w:val="0092667D"/>
    <w:rsid w:val="009359D8"/>
    <w:rsid w:val="00936818"/>
    <w:rsid w:val="00942252"/>
    <w:rsid w:val="00945983"/>
    <w:rsid w:val="00953E16"/>
    <w:rsid w:val="00956A6E"/>
    <w:rsid w:val="009617DC"/>
    <w:rsid w:val="0096543E"/>
    <w:rsid w:val="009663DA"/>
    <w:rsid w:val="00970241"/>
    <w:rsid w:val="00984E17"/>
    <w:rsid w:val="009876E7"/>
    <w:rsid w:val="00993D01"/>
    <w:rsid w:val="009A2A48"/>
    <w:rsid w:val="009B5988"/>
    <w:rsid w:val="009F01FD"/>
    <w:rsid w:val="009F1024"/>
    <w:rsid w:val="009F4741"/>
    <w:rsid w:val="009F5232"/>
    <w:rsid w:val="00A07309"/>
    <w:rsid w:val="00A1092B"/>
    <w:rsid w:val="00A118A9"/>
    <w:rsid w:val="00A23750"/>
    <w:rsid w:val="00A338E4"/>
    <w:rsid w:val="00A35BBA"/>
    <w:rsid w:val="00A35F12"/>
    <w:rsid w:val="00A37A9A"/>
    <w:rsid w:val="00A63803"/>
    <w:rsid w:val="00A82F3C"/>
    <w:rsid w:val="00A86B2C"/>
    <w:rsid w:val="00A87DC6"/>
    <w:rsid w:val="00AB1E0E"/>
    <w:rsid w:val="00AC6B35"/>
    <w:rsid w:val="00AC779B"/>
    <w:rsid w:val="00AC78DA"/>
    <w:rsid w:val="00AD32B5"/>
    <w:rsid w:val="00AE21D6"/>
    <w:rsid w:val="00AE4B79"/>
    <w:rsid w:val="00AE58F7"/>
    <w:rsid w:val="00AF1D29"/>
    <w:rsid w:val="00B02D75"/>
    <w:rsid w:val="00B03014"/>
    <w:rsid w:val="00B059DE"/>
    <w:rsid w:val="00B07DB1"/>
    <w:rsid w:val="00B10529"/>
    <w:rsid w:val="00B32BA7"/>
    <w:rsid w:val="00B50069"/>
    <w:rsid w:val="00B515D4"/>
    <w:rsid w:val="00B5319D"/>
    <w:rsid w:val="00B53FB3"/>
    <w:rsid w:val="00B60F39"/>
    <w:rsid w:val="00B7543E"/>
    <w:rsid w:val="00B86355"/>
    <w:rsid w:val="00B87A90"/>
    <w:rsid w:val="00B91DAB"/>
    <w:rsid w:val="00B96E47"/>
    <w:rsid w:val="00BA0D9E"/>
    <w:rsid w:val="00BA2B9E"/>
    <w:rsid w:val="00BA514E"/>
    <w:rsid w:val="00BA6288"/>
    <w:rsid w:val="00BB20E6"/>
    <w:rsid w:val="00BB49CB"/>
    <w:rsid w:val="00BB70B2"/>
    <w:rsid w:val="00BB7D57"/>
    <w:rsid w:val="00BC0B66"/>
    <w:rsid w:val="00BC5EA9"/>
    <w:rsid w:val="00BC6172"/>
    <w:rsid w:val="00BD3B22"/>
    <w:rsid w:val="00BE52B8"/>
    <w:rsid w:val="00C0579F"/>
    <w:rsid w:val="00C060F3"/>
    <w:rsid w:val="00C071F6"/>
    <w:rsid w:val="00C1232A"/>
    <w:rsid w:val="00C16C99"/>
    <w:rsid w:val="00C27A51"/>
    <w:rsid w:val="00C33DF3"/>
    <w:rsid w:val="00C369BB"/>
    <w:rsid w:val="00C416E7"/>
    <w:rsid w:val="00C45FF2"/>
    <w:rsid w:val="00C52C7D"/>
    <w:rsid w:val="00C574A4"/>
    <w:rsid w:val="00C81A00"/>
    <w:rsid w:val="00C9086D"/>
    <w:rsid w:val="00CA1E69"/>
    <w:rsid w:val="00CB0C27"/>
    <w:rsid w:val="00CB5DA9"/>
    <w:rsid w:val="00CC061D"/>
    <w:rsid w:val="00CD12F3"/>
    <w:rsid w:val="00CD5795"/>
    <w:rsid w:val="00CD7B50"/>
    <w:rsid w:val="00CF5BEF"/>
    <w:rsid w:val="00D002FD"/>
    <w:rsid w:val="00D1588B"/>
    <w:rsid w:val="00D17A46"/>
    <w:rsid w:val="00D20BD4"/>
    <w:rsid w:val="00D31282"/>
    <w:rsid w:val="00D31808"/>
    <w:rsid w:val="00D3340C"/>
    <w:rsid w:val="00D34C0F"/>
    <w:rsid w:val="00D428F0"/>
    <w:rsid w:val="00D42F29"/>
    <w:rsid w:val="00D77C29"/>
    <w:rsid w:val="00DA4DB9"/>
    <w:rsid w:val="00DA7A85"/>
    <w:rsid w:val="00DB631B"/>
    <w:rsid w:val="00DC72FF"/>
    <w:rsid w:val="00DD1462"/>
    <w:rsid w:val="00DD3D37"/>
    <w:rsid w:val="00DE4683"/>
    <w:rsid w:val="00DF6A85"/>
    <w:rsid w:val="00DF7131"/>
    <w:rsid w:val="00E100C7"/>
    <w:rsid w:val="00E1681D"/>
    <w:rsid w:val="00E27622"/>
    <w:rsid w:val="00E3469E"/>
    <w:rsid w:val="00E37A4C"/>
    <w:rsid w:val="00E42740"/>
    <w:rsid w:val="00E4376E"/>
    <w:rsid w:val="00E467A9"/>
    <w:rsid w:val="00E4733C"/>
    <w:rsid w:val="00E563F0"/>
    <w:rsid w:val="00E57C6F"/>
    <w:rsid w:val="00E57F39"/>
    <w:rsid w:val="00E63339"/>
    <w:rsid w:val="00E648A9"/>
    <w:rsid w:val="00E7505A"/>
    <w:rsid w:val="00E761A6"/>
    <w:rsid w:val="00E778BC"/>
    <w:rsid w:val="00EB226D"/>
    <w:rsid w:val="00EC5A4C"/>
    <w:rsid w:val="00EE2849"/>
    <w:rsid w:val="00EF4463"/>
    <w:rsid w:val="00EF6018"/>
    <w:rsid w:val="00F058FE"/>
    <w:rsid w:val="00F120EC"/>
    <w:rsid w:val="00F2293D"/>
    <w:rsid w:val="00F3041F"/>
    <w:rsid w:val="00F3221E"/>
    <w:rsid w:val="00F34D11"/>
    <w:rsid w:val="00F373FD"/>
    <w:rsid w:val="00F6139A"/>
    <w:rsid w:val="00F621A4"/>
    <w:rsid w:val="00F679FD"/>
    <w:rsid w:val="00F7514D"/>
    <w:rsid w:val="00F803E2"/>
    <w:rsid w:val="00F82C73"/>
    <w:rsid w:val="00FA5B72"/>
    <w:rsid w:val="00FB5484"/>
    <w:rsid w:val="00FC286A"/>
    <w:rsid w:val="00FC5069"/>
    <w:rsid w:val="00FD058D"/>
    <w:rsid w:val="00FE2831"/>
    <w:rsid w:val="00FE6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C64E50"/>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autoRedefine/>
    <w:qFormat/>
    <w:rsid w:val="001371D5"/>
    <w:pPr>
      <w:keepNext/>
      <w:spacing w:before="240" w:after="60" w:line="312" w:lineRule="auto"/>
      <w:jc w:val="both"/>
      <w:outlineLvl w:val="3"/>
    </w:pPr>
    <w:rPr>
      <w:rFonts w:ascii="Century Gothic" w:eastAsia="Times New Roman" w:hAnsi="Century Gothic"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 w:type="character" w:customStyle="1" w:styleId="Heading4Char">
    <w:name w:val="Heading 4 Char"/>
    <w:basedOn w:val="DefaultParagraphFont"/>
    <w:link w:val="Heading4"/>
    <w:rsid w:val="001371D5"/>
    <w:rPr>
      <w:rFonts w:ascii="Century Gothic" w:eastAsia="Times New Roman" w:hAnsi="Century Gothic" w:cs="Times New Roman"/>
      <w:b/>
      <w:bCs/>
      <w:szCs w:val="28"/>
    </w:rPr>
  </w:style>
  <w:style w:type="paragraph" w:styleId="Title">
    <w:name w:val="Title"/>
    <w:aliases w:val="heading 5"/>
    <w:basedOn w:val="Normal"/>
    <w:next w:val="Normal"/>
    <w:link w:val="TitleChar"/>
    <w:qFormat/>
    <w:rsid w:val="001371D5"/>
    <w:pPr>
      <w:spacing w:before="240" w:after="60" w:line="312" w:lineRule="auto"/>
      <w:outlineLvl w:val="0"/>
    </w:pPr>
    <w:rPr>
      <w:rFonts w:ascii="Century Gothic" w:eastAsia="Times New Roman" w:hAnsi="Century Gothic" w:cs="Times New Roman"/>
      <w:bCs/>
      <w:kern w:val="28"/>
      <w:szCs w:val="32"/>
      <w:u w:val="single"/>
    </w:rPr>
  </w:style>
  <w:style w:type="character" w:customStyle="1" w:styleId="TitleChar">
    <w:name w:val="Title Char"/>
    <w:aliases w:val="heading 5 Char"/>
    <w:basedOn w:val="DefaultParagraphFont"/>
    <w:link w:val="Title"/>
    <w:rsid w:val="001371D5"/>
    <w:rPr>
      <w:rFonts w:ascii="Century Gothic" w:eastAsia="Times New Roman" w:hAnsi="Century Gothic" w:cs="Times New Roman"/>
      <w:bCs/>
      <w:kern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444">
      <w:bodyDiv w:val="1"/>
      <w:marLeft w:val="0"/>
      <w:marRight w:val="0"/>
      <w:marTop w:val="0"/>
      <w:marBottom w:val="0"/>
      <w:divBdr>
        <w:top w:val="none" w:sz="0" w:space="0" w:color="auto"/>
        <w:left w:val="none" w:sz="0" w:space="0" w:color="auto"/>
        <w:bottom w:val="none" w:sz="0" w:space="0" w:color="auto"/>
        <w:right w:val="none" w:sz="0" w:space="0" w:color="auto"/>
      </w:divBdr>
    </w:div>
    <w:div w:id="20861821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 w:id="20838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07CA3383-FF9A-4D9D-B34B-84E71F537698}"/>
</file>

<file path=customXml/itemProps2.xml><?xml version="1.0" encoding="utf-8"?>
<ds:datastoreItem xmlns:ds="http://schemas.openxmlformats.org/officeDocument/2006/customXml" ds:itemID="{FB2D6E41-44BB-4F5E-9569-A110E23AFBC0}"/>
</file>

<file path=customXml/itemProps3.xml><?xml version="1.0" encoding="utf-8"?>
<ds:datastoreItem xmlns:ds="http://schemas.openxmlformats.org/officeDocument/2006/customXml" ds:itemID="{23B496FA-469C-4528-A45A-8B9015EF60C6}"/>
</file>

<file path=docProps/app.xml><?xml version="1.0" encoding="utf-8"?>
<Properties xmlns="http://schemas.openxmlformats.org/officeDocument/2006/extended-properties" xmlns:vt="http://schemas.openxmlformats.org/officeDocument/2006/docPropsVTypes">
  <Template>Normal</Template>
  <TotalTime>792</TotalTime>
  <Pages>9</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8.4 - Options Overview Paper</dc:title>
  <dc:subject/>
  <dc:creator>Ian Stuart-Mills (Housing)</dc:creator>
  <cp:keywords/>
  <dc:description/>
  <cp:lastModifiedBy>Aodha Molloy (Housing)</cp:lastModifiedBy>
  <cp:revision>21</cp:revision>
  <cp:lastPrinted>2023-05-02T15:38:00Z</cp:lastPrinted>
  <dcterms:created xsi:type="dcterms:W3CDTF">2023-05-14T14:28:00Z</dcterms:created>
  <dcterms:modified xsi:type="dcterms:W3CDTF">2023-05-17T14:06:00Z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