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1F063" w14:textId="77777777" w:rsidR="00DF17D9" w:rsidRPr="002330ED" w:rsidRDefault="00DF17D9" w:rsidP="00DF17D9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51"/>
          <w:szCs w:val="51"/>
          <w14:ligatures w14:val="none"/>
        </w:rPr>
      </w:pPr>
      <w:r w:rsidRPr="002330ED">
        <w:rPr>
          <w:rFonts w:ascii="Calibri" w:eastAsia="Times New Roman" w:hAnsi="Calibri" w:cs="Calibri"/>
          <w:b/>
          <w:bCs/>
          <w:color w:val="004F9E"/>
          <w:kern w:val="0"/>
          <w:sz w:val="51"/>
          <w:szCs w:val="51"/>
          <w:rtl/>
          <w14:ligatures w14:val="none"/>
        </w:rPr>
        <w:t>التسجيل للتصويت</w:t>
      </w:r>
    </w:p>
    <w:p w14:paraId="433008DD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الإدلاء بصوتك يتيح أمامك فرصة المشاركة في عمليات اتخاذ القرارات التي تؤثر على حياتك وعلى مستقبل أيرلندا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.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الإدلاء بصوتك هو بمثابة التعبير عن آرائك، فإن امتنعت عن التصويت، سيتخذ الآخرون القرارات بدلًا منك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</w:p>
    <w:p w14:paraId="24D0ECB7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كي يكون لك رأي حول المسائل الهامة تعبر عنه بالتصويت في الانتخابات، يلزم أن يكون اسمك مسجلًا في سجل الناخبين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</w:p>
    <w:p w14:paraId="7E15E791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من السهل أن تسجل للتصويت أو أن تتأكد من أن بياناتك دقيقة ومحدَّثة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.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يمكنك أن تفعل هذا عبر زيارة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: </w:t>
      </w:r>
      <w:hyperlink r:id="rId8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www.checktheregister.ie</w:t>
        </w:r>
      </w:hyperlink>
    </w:p>
    <w:p w14:paraId="2961A3A2" w14:textId="77777777" w:rsidR="00DF17D9" w:rsidRPr="002330ED" w:rsidRDefault="00DF17D9" w:rsidP="00DF17D9">
      <w:pPr>
        <w:shd w:val="clear" w:color="auto" w:fill="FFFFFF"/>
        <w:bidi/>
        <w:spacing w:after="225" w:line="240" w:lineRule="auto"/>
        <w:outlineLvl w:val="2"/>
        <w:rPr>
          <w:rFonts w:ascii="Calibri" w:eastAsia="Times New Roman" w:hAnsi="Calibri" w:cs="Calibri"/>
          <w:b/>
          <w:bCs/>
          <w:color w:val="004F9E"/>
          <w:kern w:val="0"/>
          <w:sz w:val="42"/>
          <w:szCs w:val="42"/>
          <w14:ligatures w14:val="none"/>
        </w:rPr>
      </w:pPr>
      <w:r w:rsidRPr="002330ED">
        <w:rPr>
          <w:rFonts w:ascii="Calibri" w:eastAsia="Times New Roman" w:hAnsi="Calibri" w:cs="Calibri"/>
          <w:b/>
          <w:bCs/>
          <w:color w:val="004F9E"/>
          <w:kern w:val="0"/>
          <w:sz w:val="42"/>
          <w:szCs w:val="42"/>
          <w:rtl/>
          <w14:ligatures w14:val="none"/>
        </w:rPr>
        <w:t>تحديث بياناتك</w:t>
      </w:r>
    </w:p>
    <w:p w14:paraId="21CF3E5E" w14:textId="5E234CCC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إن كان عليك أن تحدِّث</w:t>
      </w:r>
      <w:r w:rsid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 أي من بياناتك الشخصية أو تغ</w:t>
      </w:r>
      <w:r w:rsidR="002330ED">
        <w:rPr>
          <w:rFonts w:ascii="Calibri" w:eastAsia="Times New Roman" w:hAnsi="Calibri" w:cs="Calibri" w:hint="cs"/>
          <w:color w:val="212529"/>
          <w:kern w:val="0"/>
          <w:sz w:val="24"/>
          <w:szCs w:val="24"/>
          <w:rtl/>
          <w14:ligatures w14:val="none"/>
        </w:rPr>
        <w:t xml:space="preserve">يِّر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عنوانك المدوَّن في السجل، فإن أس</w:t>
      </w:r>
      <w:r w:rsid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رع طريقة للقيام بهذا الأمر هو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 عبر زيارة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9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www.checktheregister.ie</w:t>
        </w:r>
      </w:hyperlink>
    </w:p>
    <w:p w14:paraId="26985EB0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إن لم تستطع تحديث بياناتك أو تغيير عنوان سكنك عبر موقع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0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checktheregister.ie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يجب عليك حينها أن تتواصل مع سلطتك المحلية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.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سيتمكنون من تحديث بياناتك باستخدام نموذج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1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لتسجيل الناخبين  </w:t>
      </w:r>
      <w:hyperlink r:id="rId11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:lang w:bidi="ar"/>
            <w14:ligatures w14:val="none"/>
          </w:rPr>
          <w:t>(</w:t>
        </w:r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14:ligatures w14:val="none"/>
          </w:rPr>
          <w:t xml:space="preserve">نموذج </w:t>
        </w:r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ERF1</w:t>
        </w:r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:lang w:bidi="ar"/>
            <w14:ligatures w14:val="none"/>
          </w:rPr>
          <w:t>)</w:t>
        </w:r>
      </w:hyperlink>
    </w:p>
    <w:p w14:paraId="3E7544CE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يرجى العلم أنك إن كنت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:</w:t>
      </w:r>
    </w:p>
    <w:p w14:paraId="33DD5586" w14:textId="77777777" w:rsidR="00DF17D9" w:rsidRPr="002330ED" w:rsidRDefault="00DF17D9" w:rsidP="00DF17D9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تنقل سكنك من دبلن إلى أي مقاطعة أخرى خارجها، أو</w:t>
      </w:r>
    </w:p>
    <w:p w14:paraId="4D26C27B" w14:textId="77777777" w:rsidR="00DF17D9" w:rsidRPr="002330ED" w:rsidRDefault="00DF17D9" w:rsidP="00DF17D9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تنقل سكنك إلى دبلن من أي مقاطعة أخرى خارج دبلن،</w:t>
      </w:r>
    </w:p>
    <w:p w14:paraId="62FFC97D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حينها لا يمكنك تحديث بياناتك أو تغيير عنوان سكنك إلا باستخدام نموذج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1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لتسجيل الناخبين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2" w:history="1">
        <w:r w:rsidRPr="002330ED">
          <w:rPr>
            <w:rFonts w:ascii="Calibri" w:eastAsia="Times New Roman" w:hAnsi="Calibri" w:cs="Calibri"/>
            <w:b/>
            <w:bCs/>
            <w:color w:val="0D6EFD"/>
            <w:kern w:val="0"/>
            <w:sz w:val="24"/>
            <w:szCs w:val="24"/>
            <w:u w:val="single"/>
            <w:rtl/>
            <w14:ligatures w14:val="none"/>
          </w:rPr>
          <w:t xml:space="preserve">نموذج </w:t>
        </w:r>
        <w:r w:rsidRPr="002330ED">
          <w:rPr>
            <w:rFonts w:ascii="Calibri" w:eastAsia="Times New Roman" w:hAnsi="Calibri" w:cs="Calibri"/>
            <w:b/>
            <w:bCs/>
            <w:color w:val="0D6EFD"/>
            <w:kern w:val="0"/>
            <w:sz w:val="24"/>
            <w:szCs w:val="24"/>
            <w:u w:val="single"/>
            <w14:ligatures w14:val="none"/>
          </w:rPr>
          <w:t>ERF1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.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ولن تستطيع استخدام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3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www.checktheregister.ie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.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يمكنك تعبئة هذا النموذج وإرساله إلى السلطة المحلية المعنية في منطقتك والتي ستعالج طلبك من أجل تحديث بياناتك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 </w:t>
      </w:r>
    </w:p>
    <w:p w14:paraId="09E1B454" w14:textId="77777777" w:rsidR="00DF17D9" w:rsidRPr="002330ED" w:rsidRDefault="00DF17D9" w:rsidP="00DF17D9">
      <w:pPr>
        <w:shd w:val="clear" w:color="auto" w:fill="FFFFFF"/>
        <w:bidi/>
        <w:spacing w:after="225" w:line="240" w:lineRule="auto"/>
        <w:outlineLvl w:val="2"/>
        <w:rPr>
          <w:rFonts w:ascii="Calibri" w:eastAsia="Times New Roman" w:hAnsi="Calibri" w:cs="Calibri"/>
          <w:b/>
          <w:bCs/>
          <w:color w:val="004F9E"/>
          <w:kern w:val="0"/>
          <w:sz w:val="42"/>
          <w:szCs w:val="42"/>
          <w14:ligatures w14:val="none"/>
        </w:rPr>
      </w:pPr>
      <w:r w:rsidRPr="002330ED">
        <w:rPr>
          <w:rFonts w:ascii="Calibri" w:eastAsia="Times New Roman" w:hAnsi="Calibri" w:cs="Calibri"/>
          <w:b/>
          <w:bCs/>
          <w:color w:val="004F9E"/>
          <w:kern w:val="0"/>
          <w:sz w:val="42"/>
          <w:szCs w:val="42"/>
          <w:rtl/>
          <w14:ligatures w14:val="none"/>
        </w:rPr>
        <w:t>التصويت بالبريد</w:t>
      </w:r>
    </w:p>
    <w:p w14:paraId="32CFADEB" w14:textId="7470A0D8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التصويت بالبريد منصوص عليه فيما يتعلق بفئات معينة من الأشخاص على النحو المحدد في قانون الانتخابات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وتشمل هذه الفئات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: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أفراد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الشرطة الأيرلندية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أفراد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قوات الدفاع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 xml:space="preserve">الدبلوماسيين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الأيرلنديين العاملين في الخارج وأزواجهم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/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زوجاتهم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/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شركاؤهم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من لا يستطيعون التصويت بصفتهم الشخصية في مركز الاقتراع المحلي بسبب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حالة مرضية أو إعاقة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الناخبون الذين من غير المحتمل أن يتمكنوا من التصويت بصفة شخصية في يوم الاقتراع بسبب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مهنهم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 أو طبيعة أعمالهم أو وظائفهم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 xml:space="preserve">الطلبة بدوام كامل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المسجلين بعناوين مساكنهم لكنهم يقيمون في أماكن أخرى طوال فترة التحاقهم بالمؤسسات التعليمية في الدولة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الناخبون مجهولو ال</w:t>
      </w:r>
      <w:r w:rsidR="002330ED">
        <w:rPr>
          <w:rFonts w:ascii="Calibri" w:eastAsia="Times New Roman" w:hAnsi="Calibri" w:cs="Calibri" w:hint="cs"/>
          <w:b/>
          <w:bCs/>
          <w:color w:val="212529"/>
          <w:kern w:val="0"/>
          <w:sz w:val="24"/>
          <w:szCs w:val="24"/>
          <w:rtl/>
          <w14:ligatures w14:val="none"/>
        </w:rPr>
        <w:t>اسم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 xml:space="preserve">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أو أفراد أسر الأشخاص الذين قد يتعرضون للخطر إن نُشِرَت أسماؤهم أو عناوين سكنهم في سجل الناخبين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– 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السجناء</w:t>
      </w:r>
    </w:p>
    <w:p w14:paraId="644FDB13" w14:textId="77777777" w:rsidR="00DF17D9" w:rsidRPr="002330ED" w:rsidRDefault="00DF17D9" w:rsidP="00DF17D9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lastRenderedPageBreak/>
        <w:t>النماذج ذات الصلة اللازمة للتصويت بالبريد متاحة عن طريق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4" w:history="1">
        <w:r w:rsidRPr="002330ED">
          <w:rPr>
            <w:rFonts w:ascii="Calibri" w:eastAsia="Times New Roman" w:hAnsi="Calibri" w:cs="Calibri"/>
            <w:b/>
            <w:bCs/>
            <w:color w:val="0D6EFD"/>
            <w:kern w:val="0"/>
            <w:sz w:val="24"/>
            <w:szCs w:val="24"/>
            <w:u w:val="single"/>
            <w:rtl/>
            <w14:ligatures w14:val="none"/>
          </w:rPr>
          <w:t>رابط التحقق من سجل الناخبين</w:t>
        </w:r>
      </w:hyperlink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14:ligatures w14:val="none"/>
        </w:rPr>
        <w:t>أو السلطة المحلية في منطقتك</w:t>
      </w:r>
      <w:r w:rsidRPr="002330ED">
        <w:rPr>
          <w:rFonts w:ascii="Calibri" w:eastAsia="Times New Roman" w:hAnsi="Calibri" w:cs="Calibri"/>
          <w:b/>
          <w:bCs/>
          <w:color w:val="212529"/>
          <w:kern w:val="0"/>
          <w:sz w:val="24"/>
          <w:szCs w:val="24"/>
          <w:rtl/>
          <w:lang w:bidi="ar"/>
          <w14:ligatures w14:val="none"/>
        </w:rPr>
        <w:t>.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يرجى مراجعة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5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14:ligatures w14:val="none"/>
          </w:rPr>
          <w:t>قائمة جهات الاتصال بالسلطة المحلية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</w:p>
    <w:p w14:paraId="66944569" w14:textId="77777777" w:rsidR="00DF17D9" w:rsidRPr="002330ED" w:rsidRDefault="00DF17D9" w:rsidP="00DF17D9">
      <w:pPr>
        <w:shd w:val="clear" w:color="auto" w:fill="FFFFFF"/>
        <w:bidi/>
        <w:spacing w:after="225" w:line="240" w:lineRule="auto"/>
        <w:outlineLvl w:val="2"/>
        <w:rPr>
          <w:rFonts w:ascii="Calibri" w:eastAsia="Times New Roman" w:hAnsi="Calibri" w:cs="Calibri"/>
          <w:b/>
          <w:bCs/>
          <w:color w:val="004F9E"/>
          <w:kern w:val="0"/>
          <w:sz w:val="42"/>
          <w:szCs w:val="42"/>
          <w14:ligatures w14:val="none"/>
        </w:rPr>
      </w:pPr>
      <w:r w:rsidRPr="002330ED">
        <w:rPr>
          <w:rFonts w:ascii="Calibri" w:eastAsia="Times New Roman" w:hAnsi="Calibri" w:cs="Calibri"/>
          <w:b/>
          <w:bCs/>
          <w:color w:val="004F9E"/>
          <w:kern w:val="0"/>
          <w:sz w:val="42"/>
          <w:szCs w:val="42"/>
          <w:rtl/>
          <w14:ligatures w14:val="none"/>
        </w:rPr>
        <w:t>قائمة الناخب الاستثنائي</w:t>
      </w:r>
    </w:p>
    <w:p w14:paraId="6137C15B" w14:textId="63D019B3" w:rsidR="00DF17D9" w:rsidRPr="002330ED" w:rsidRDefault="00DF17D9" w:rsidP="002330ED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</w:pP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الشخص الذي يقيم في مستشفى أو دار رعاية أو مؤسسة للصحة العقلية والذي ل</w:t>
      </w:r>
      <w:r w:rsid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ديه عجز أو إعاقة أو حالة مرضية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تمنعه من الذهاب إلى مركز </w:t>
      </w:r>
      <w:r w:rsidR="002330ED">
        <w:rPr>
          <w:rFonts w:ascii="Calibri" w:eastAsia="Times New Roman" w:hAnsi="Calibri" w:cs="Calibri" w:hint="cs"/>
          <w:color w:val="212529"/>
          <w:kern w:val="0"/>
          <w:sz w:val="24"/>
          <w:szCs w:val="24"/>
          <w:rtl/>
          <w14:ligatures w14:val="none"/>
        </w:rPr>
        <w:t>ال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اقتراع يمكنه الإدلاء بصوته في المستشفى أو دار الرعاية أو ما شابه من مؤسسات إن قدم طلبًا لإضافة </w:t>
      </w:r>
      <w:r w:rsidR="002330ED">
        <w:rPr>
          <w:rFonts w:ascii="Calibri" w:eastAsia="Times New Roman" w:hAnsi="Calibri" w:cs="Calibri" w:hint="cs"/>
          <w:color w:val="212529"/>
          <w:kern w:val="0"/>
          <w:sz w:val="24"/>
          <w:szCs w:val="24"/>
          <w:rtl/>
          <w14:ligatures w14:val="none"/>
        </w:rPr>
        <w:t>اسمه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 في قائمة الناخبين الاستثنائيين والتي </w:t>
      </w:r>
      <w:r w:rsidR="002330ED">
        <w:rPr>
          <w:rFonts w:ascii="Calibri" w:eastAsia="Times New Roman" w:hAnsi="Calibri" w:cs="Calibri" w:hint="cs"/>
          <w:color w:val="212529"/>
          <w:kern w:val="0"/>
          <w:sz w:val="24"/>
          <w:szCs w:val="24"/>
          <w:rtl/>
          <w14:ligatures w14:val="none"/>
        </w:rPr>
        <w:t>تعمل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 سطات التسجيل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(</w:t>
      </w:r>
      <w:r w:rsid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مجالس المد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ن والمقاطعات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)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على إعدادها والاحتفاظ بها باعتبارها جزء من سجل الناخبين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  <w:t> 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في حالة الطلب لأول مرة، وكلما اقتضت سلطات التسجيل ذلك في حالة الطلبات اللاحقة، يلز</w:t>
      </w:r>
      <w:bookmarkStart w:id="0" w:name="_GoBack"/>
      <w:bookmarkEnd w:id="0"/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 xml:space="preserve">م إرفاق شهادة من ممارس طبي مسجل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(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ممارس عام على سبيل المثال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 xml:space="preserve">) 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مع الطلب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  <w:t> 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14:ligatures w14:val="none"/>
        </w:rPr>
        <w:br/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إن أردت تسجيل اسمك كناخب استثنائي، يجب أن تستكمل نموذج الناخب الاستثنائي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6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:lang w:bidi="ar"/>
            <w14:ligatures w14:val="none"/>
          </w:rPr>
          <w:t>(</w:t>
        </w:r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14:ligatures w14:val="none"/>
          </w:rPr>
          <w:t xml:space="preserve">نموذج </w:t>
        </w:r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SV1</w:t>
        </w:r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:lang w:bidi="ar"/>
            <w14:ligatures w14:val="none"/>
          </w:rPr>
          <w:t>)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، وهو متاح عبر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7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14:ligatures w14:val="none"/>
          </w:rPr>
          <w:t>www.checktheregister.ie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أو عن طريق السلطة المحلية في منطقتك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 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14:ligatures w14:val="none"/>
        </w:rPr>
        <w:t>يرجى الاطلاع على</w:t>
      </w:r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 </w:t>
      </w:r>
      <w:hyperlink r:id="rId18" w:history="1">
        <w:r w:rsidRPr="002330ED">
          <w:rPr>
            <w:rFonts w:ascii="Calibri" w:eastAsia="Times New Roman" w:hAnsi="Calibri" w:cs="Calibri"/>
            <w:color w:val="0D6EFD"/>
            <w:kern w:val="0"/>
            <w:sz w:val="24"/>
            <w:szCs w:val="24"/>
            <w:u w:val="single"/>
            <w:rtl/>
            <w14:ligatures w14:val="none"/>
          </w:rPr>
          <w:t>قائمة جهات الاتصال بالسلطة المحلية</w:t>
        </w:r>
      </w:hyperlink>
      <w:r w:rsidRPr="002330ED">
        <w:rPr>
          <w:rFonts w:ascii="Calibri" w:eastAsia="Times New Roman" w:hAnsi="Calibri" w:cs="Calibri"/>
          <w:color w:val="212529"/>
          <w:kern w:val="0"/>
          <w:sz w:val="24"/>
          <w:szCs w:val="24"/>
          <w:rtl/>
          <w:lang w:bidi="ar"/>
          <w14:ligatures w14:val="none"/>
        </w:rPr>
        <w:t>.</w:t>
      </w:r>
    </w:p>
    <w:p w14:paraId="1319F910" w14:textId="77777777" w:rsidR="006336CE" w:rsidRPr="002330ED" w:rsidRDefault="006336CE">
      <w:pPr>
        <w:rPr>
          <w:rFonts w:ascii="Calibri" w:hAnsi="Calibri" w:cs="Calibri"/>
        </w:rPr>
      </w:pPr>
    </w:p>
    <w:sectPr w:rsidR="006336CE" w:rsidRPr="00233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9"/>
    <w:rsid w:val="002330ED"/>
    <w:rsid w:val="00502CCE"/>
    <w:rsid w:val="006336CE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hyperlink" Target="http://www.checktheregister.ie/" TargetMode="External"/><Relationship Id="rId18" Type="http://schemas.openxmlformats.org/officeDocument/2006/relationships/hyperlink" Target="https://www.checktheregister.ie/en-IE/conta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ecktheregister.ie/en-IE/forms" TargetMode="External"/><Relationship Id="rId17" Type="http://schemas.openxmlformats.org/officeDocument/2006/relationships/hyperlink" Target="http://www.checktheregister.i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ecktheregister.ie/en-IE/for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cktheregister.ie/en-IE/form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hecktheregister.ie/en-IE/contact" TargetMode="External"/><Relationship Id="rId10" Type="http://schemas.openxmlformats.org/officeDocument/2006/relationships/hyperlink" Target="http://www.checktheregister.i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Relationship Id="rId14" Type="http://schemas.openxmlformats.org/officeDocument/2006/relationships/hyperlink" Target="https://www.checktheregister.ie/en-IE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2894</Characters>
  <Application>Microsoft Office Word</Application>
  <DocSecurity>0</DocSecurity>
  <Lines>24</Lines>
  <Paragraphs>6</Paragraphs>
  <ScaleCrop>false</ScaleCrop>
  <Company>BTS Desktop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aya.sewelam@outlook.com</cp:lastModifiedBy>
  <cp:revision>2</cp:revision>
  <dcterms:created xsi:type="dcterms:W3CDTF">2025-07-28T10:10:00Z</dcterms:created>
  <dcterms:modified xsi:type="dcterms:W3CDTF">2025-08-07T15:50:00Z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