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F063" w14:textId="5456C8C0" w:rsidR="00DF17D9" w:rsidRPr="005D083C" w:rsidRDefault="00C5416A" w:rsidP="00DF17D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eastAsia="en-IE"/>
          <w14:ligatures w14:val="none"/>
        </w:rPr>
      </w:pPr>
      <w:r w:rsidRPr="005D083C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eastAsia="en-IE"/>
          <w14:ligatures w14:val="none"/>
        </w:rPr>
        <w:t>Inscription pour</w:t>
      </w:r>
      <w:r w:rsidR="00DF17D9" w:rsidRPr="005D083C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eastAsia="en-IE"/>
          <w14:ligatures w14:val="none"/>
        </w:rPr>
        <w:t xml:space="preserve"> vote</w:t>
      </w:r>
      <w:r w:rsidRPr="005D083C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eastAsia="en-IE"/>
          <w14:ligatures w14:val="none"/>
        </w:rPr>
        <w:t>r</w:t>
      </w:r>
    </w:p>
    <w:p w14:paraId="433008DD" w14:textId="1D940586" w:rsidR="00DF17D9" w:rsidRPr="005D083C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er vous donne la </w:t>
      </w:r>
      <w:r w:rsidR="00A85573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possibilité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de prendre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part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à la prise de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cision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 qui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affect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ent votre vie et l’avenir de l’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Irland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.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Votre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vote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est votre voix, si vous ne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vote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z pas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,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d’autres prendront les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cisions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pour vous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</w:p>
    <w:p w14:paraId="24D0ECB7" w14:textId="4C8FBD20" w:rsidR="00DF17D9" w:rsidRPr="005D083C" w:rsidRDefault="00C5416A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Pour vous exprimer sur des questions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important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es en votant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,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vous devez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figurer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sur la liste électorale (</w:t>
      </w:r>
      <w:r w:rsidR="00F62555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:lang w:eastAsia="en-IE"/>
          <w14:ligatures w14:val="none"/>
        </w:rPr>
        <w:t>R</w:t>
      </w:r>
      <w:r w:rsidR="00DF17D9" w:rsidRPr="005D083C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:lang w:eastAsia="en-IE"/>
          <w14:ligatures w14:val="none"/>
        </w:rPr>
        <w:t>egister</w:t>
      </w:r>
      <w:r w:rsidR="00F62555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:lang w:eastAsia="en-IE"/>
          <w14:ligatures w14:val="none"/>
        </w:rPr>
        <w:t xml:space="preserve"> of Electors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)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</w:p>
    <w:p w14:paraId="7E15E791" w14:textId="25F3B4C5" w:rsidR="00DF17D9" w:rsidRPr="005D083C" w:rsidRDefault="00CA79E1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Vous pouvez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facile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ment vous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s’inscrire pour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vote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ou vérifier que vos coordonnées sont exactes et à jour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="00C5416A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en vous rendant sur le site 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: </w:t>
      </w:r>
      <w:hyperlink r:id="rId8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www.checktheregister.ie</w:t>
        </w:r>
      </w:hyperlink>
      <w:r w:rsidR="00C5416A" w:rsidRPr="005D083C">
        <w:t>.</w:t>
      </w:r>
    </w:p>
    <w:p w14:paraId="2961A3A2" w14:textId="6189BD51" w:rsidR="00DF17D9" w:rsidRPr="005D083C" w:rsidRDefault="00C5416A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</w:pPr>
      <w:r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Mise à jour de vos coordonnées</w:t>
      </w:r>
    </w:p>
    <w:p w14:paraId="21CF3E5E" w14:textId="1944A806" w:rsidR="00DF17D9" w:rsidRPr="005D083C" w:rsidRDefault="00C5416A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Si vous devez mettre à jour certaines de vos informations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person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nelles ou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change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votre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adress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 sur la liste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électorale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, le moyen le plus rapide est sur le site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9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www.checktheregister.ie</w:t>
        </w:r>
      </w:hyperlink>
      <w:r w:rsidRPr="005D083C">
        <w:t>.</w:t>
      </w:r>
    </w:p>
    <w:p w14:paraId="26985EB0" w14:textId="1D2300F5" w:rsidR="00DF17D9" w:rsidRPr="005D083C" w:rsidRDefault="00C5416A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Si vous ne pouvez pas mettre à jour vos coordonnées ou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change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votre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adress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sur le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site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10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checktheregister.ie</w:t>
        </w:r>
      </w:hyperlink>
      <w:r w:rsidRPr="005D083C">
        <w:t>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vous devez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contact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er votre autorité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local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.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Celle-ci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sera peut-être en mesure de mettre à jour vos informations à l’aide du </w:t>
      </w:r>
      <w:hyperlink r:id="rId11" w:history="1">
        <w:r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formulaire E</w:t>
        </w:r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RF1</w:t>
        </w:r>
      </w:hyperlink>
      <w:r w:rsidRPr="005D083C">
        <w:t>.</w:t>
      </w:r>
    </w:p>
    <w:p w14:paraId="3E7544CE" w14:textId="1417F138" w:rsidR="00DF17D9" w:rsidRPr="005D083C" w:rsidRDefault="00A8557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Sachez</w:t>
      </w:r>
      <w:r w:rsidR="00475B6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que si vous :</w:t>
      </w:r>
    </w:p>
    <w:p w14:paraId="33DD5586" w14:textId="0A77B63C" w:rsidR="00DF17D9" w:rsidRPr="005D083C" w:rsidRDefault="00475B6C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déménagez de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Dublin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pour emménager dans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tout comté en dehors de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Dublin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ou</w:t>
      </w:r>
    </w:p>
    <w:p w14:paraId="4D26C27B" w14:textId="2FF3F7E4" w:rsidR="00DF17D9" w:rsidRPr="005D083C" w:rsidRDefault="00CA79E1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emm</w:t>
      </w:r>
      <w:r w:rsidR="00475B6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énagez à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Dublin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après avoir quitté</w:t>
      </w:r>
      <w:r w:rsidR="00475B6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tout comté en dehors de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Dublin,</w:t>
      </w:r>
    </w:p>
    <w:p w14:paraId="62FFC97D" w14:textId="4D67BBA4" w:rsidR="00DF17D9" w:rsidRPr="005D083C" w:rsidRDefault="00475B6C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vous ne pouvez mettre à jour vos coordonnées ou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change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votre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adress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qu’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à l’aide d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u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12" w:history="1">
        <w:r w:rsidRPr="005D083C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formulaire E</w:t>
        </w:r>
        <w:r w:rsidR="00DF17D9" w:rsidRPr="005D083C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RF1</w:t>
        </w:r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.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Vous ne pouvez pas utiliser le site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13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www.checktheregister.ie</w:t>
        </w:r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.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Vous pouvez remplir ce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form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ulaire et l’envoyer à l’autorité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local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 concernée qui traitera votre demande pour mettre à jour vos coordonnées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 </w:t>
      </w:r>
    </w:p>
    <w:p w14:paraId="09E1B454" w14:textId="07B19FDC" w:rsidR="00DF17D9" w:rsidRPr="005D083C" w:rsidRDefault="00475B6C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</w:pPr>
      <w:r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V</w:t>
      </w:r>
      <w:r w:rsidR="00DF17D9"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ot</w:t>
      </w:r>
      <w:r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e par correspondance</w:t>
      </w:r>
    </w:p>
    <w:p w14:paraId="32CFADEB" w14:textId="2ED7B375" w:rsidR="00DF17D9" w:rsidRPr="005D083C" w:rsidRDefault="00475B6C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 par correspondance est prévu pour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certain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cat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gories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person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ne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comme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définies par le droit électoral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Celles-ci incluent 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: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 xml:space="preserve">–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les membres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d’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An Garda Síochána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(la police irlandaise)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 xml:space="preserve">–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les membres des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f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orces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 armées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 xml:space="preserve">–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diplomat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e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s 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irlandais en 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ervi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ce à l’étranger </w:t>
      </w:r>
      <w:r w:rsidR="00CA79E1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ainsi que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leur époux/partenaire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 xml:space="preserve">–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ceux qui ne peuvent pas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vote</w:t>
      </w:r>
      <w:r w:rsidR="00A85573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 person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ne à leur bureau de vote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local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en raison d'une 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maladie ou d’un handicap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 xml:space="preserve">–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les 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lect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eur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 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dont la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profess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ion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, 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service o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u le travail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end plus probable le fait qu’ils ne soient pas en mesure de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vote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 person</w:t>
      </w:r>
      <w:r w:rsidR="00A85573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 jour de l’élection,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>– 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les 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étudiants à temps plein 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inscrits chez eux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et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qui vivent ailleurs pendant qu’ils étudient dans un établissement d’enseignement sur le territoire,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lastRenderedPageBreak/>
        <w:t>– 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les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 électeurs a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nonym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es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o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u les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memb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res de foyer de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person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nes dont la sécurité serait en danger si leur nom et leur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adress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 étaient inscrits sur la liste électorale,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>– 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les 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p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rison</w:t>
      </w:r>
      <w:r w:rsidR="00824ACC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ni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ers</w:t>
      </w:r>
      <w:r w:rsidR="00824ACC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</w:p>
    <w:p w14:paraId="644FDB13" w14:textId="12327719" w:rsidR="00DF17D9" w:rsidRPr="005D083C" w:rsidRDefault="00824ACC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Les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 form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ulaire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s 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utiles pour faire une demande de 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vote 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 xml:space="preserve">par correspondance sont disponibles auprès de </w:t>
      </w:r>
      <w:hyperlink r:id="rId14" w:history="1">
        <w:r w:rsidR="00DF17D9" w:rsidRPr="005D083C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Check the Register</w:t>
        </w:r>
      </w:hyperlink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 o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u votre autorité l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ocal</w:t>
      </w:r>
      <w:r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e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.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Veuillez consulter la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15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l</w:t>
        </w:r>
        <w:bookmarkStart w:id="0" w:name="_Hlk205390778"/>
        <w:r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iste de contact des autorités l</w:t>
        </w:r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ocal</w:t>
        </w:r>
        <w:r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es</w:t>
        </w:r>
        <w:bookmarkEnd w:id="0"/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</w:p>
    <w:p w14:paraId="66944569" w14:textId="240C54AA" w:rsidR="00DF17D9" w:rsidRPr="005D083C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</w:pPr>
      <w:r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List</w:t>
      </w:r>
      <w:r w:rsidR="002F389F"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>e</w:t>
      </w:r>
      <w:r w:rsidR="00824ACC" w:rsidRPr="005D083C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eastAsia="en-IE"/>
          <w14:ligatures w14:val="none"/>
        </w:rPr>
        <w:t xml:space="preserve"> des électeurs spéciaux</w:t>
      </w:r>
    </w:p>
    <w:p w14:paraId="6137C15B" w14:textId="709B5D33" w:rsidR="00DF17D9" w:rsidRPr="005D083C" w:rsidRDefault="00866B5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Une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person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sid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ant dans un hôpital, une maison de retraite, un établissement psychiatrique ou similaire, souffrant d’un handicap ou d’une </w:t>
      </w:r>
      <w:r w:rsidR="00A85573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maladie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qui l’empêche de se rendre au bureau de vote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,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peut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vote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 à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l’hôpital, 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à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la maison de retraite, 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dans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l’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établissement similaire si elle fait une demande pour être inscri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 sur la liste des électeurs spéciaux (</w:t>
      </w:r>
      <w:r w:rsidR="00DF17D9" w:rsidRPr="005D083C">
        <w:rPr>
          <w:rFonts w:ascii="Arial" w:eastAsia="Times New Roman" w:hAnsi="Arial" w:cs="Arial"/>
          <w:i/>
          <w:iCs/>
          <w:color w:val="212529"/>
          <w:kern w:val="0"/>
          <w:sz w:val="24"/>
          <w:szCs w:val="24"/>
          <w:lang w:eastAsia="en-IE"/>
          <w14:ligatures w14:val="none"/>
        </w:rPr>
        <w:t>special voters’ list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)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qui est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pr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par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ée et tenue par les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autorit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és d’inscription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(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conseils municipaux 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départementaux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)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dan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le cadre de la liste électorale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> 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n cas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première demande et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à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chaque fois que les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autorit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és d’inscription l’exigent en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cas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de demande ultérieure, 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cette demande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doit être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accompa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gnée d’un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certificat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médical établi par un médecin agréé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(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comme un médecin traitant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).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  <w:t> 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br/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Si vous souhaitez vous inscrire en tant qu’électeur 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sp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cial,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vous devez le faire en remplissant le </w:t>
      </w:r>
      <w:hyperlink r:id="rId16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form</w:t>
        </w:r>
        <w:r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ulaire</w:t>
        </w:r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 xml:space="preserve"> SV1</w:t>
        </w:r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, </w:t>
      </w:r>
      <w:r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qui est disponible sur le</w:t>
      </w:r>
      <w:r w:rsidR="002F389F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site </w:t>
      </w:r>
      <w:hyperlink r:id="rId17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www.checktheregister.ie</w:t>
        </w:r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o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u auprès </w:t>
      </w:r>
      <w:r w:rsidR="00A85573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d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 votre auto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r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ité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 xml:space="preserve"> 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l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ocal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e</w:t>
      </w:r>
      <w:r w:rsidR="00DF17D9" w:rsidRPr="005D083C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en-IE"/>
          <w14:ligatures w14:val="none"/>
        </w:rPr>
        <w:t>.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r w:rsidR="00D361E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Veuillez consulter la</w:t>
      </w:r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 </w:t>
      </w:r>
      <w:hyperlink r:id="rId18" w:history="1"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l</w:t>
        </w:r>
        <w:r w:rsidR="00D361E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iste de contact des autorités l</w:t>
        </w:r>
        <w:r w:rsidR="00DF17D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ocal</w:t>
        </w:r>
        <w:r w:rsidR="00D361E9" w:rsidRPr="005D083C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eastAsia="en-IE"/>
            <w14:ligatures w14:val="none"/>
          </w:rPr>
          <w:t>es</w:t>
        </w:r>
      </w:hyperlink>
      <w:r w:rsidR="00DF17D9" w:rsidRPr="005D083C"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  <w:t>.</w:t>
      </w:r>
    </w:p>
    <w:p w14:paraId="1319F910" w14:textId="77777777" w:rsidR="006336CE" w:rsidRPr="005D083C" w:rsidRDefault="006336CE"/>
    <w:sectPr w:rsidR="006336CE" w:rsidRPr="005D0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2F389F"/>
    <w:rsid w:val="00475B6C"/>
    <w:rsid w:val="00502CCE"/>
    <w:rsid w:val="005D083C"/>
    <w:rsid w:val="006336CE"/>
    <w:rsid w:val="00824ACC"/>
    <w:rsid w:val="00866B59"/>
    <w:rsid w:val="00990075"/>
    <w:rsid w:val="00A85573"/>
    <w:rsid w:val="00C5416A"/>
    <w:rsid w:val="00CA79E1"/>
    <w:rsid w:val="00D238F1"/>
    <w:rsid w:val="00D361E9"/>
    <w:rsid w:val="00DF17D9"/>
    <w:rsid w:val="00E12197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hyperlink" Target="https://www.checktheregister.ie/en-IE/conta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hyperlink" Target="http://www.checktheregister.i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ecktheregister.ie/en-IE/for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cktheregister.ie/en-IE/contact" TargetMode="External"/><Relationship Id="rId10" Type="http://schemas.openxmlformats.org/officeDocument/2006/relationships/hyperlink" Target="http://www.checktheregister.i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Relationship Id="rId14" Type="http://schemas.openxmlformats.org/officeDocument/2006/relationships/hyperlink" Target="https://www.checktheregister.ie/en-I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Véronique Eloir</cp:lastModifiedBy>
  <cp:revision>7</cp:revision>
  <dcterms:created xsi:type="dcterms:W3CDTF">2025-08-06T15:05:00Z</dcterms:created>
  <dcterms:modified xsi:type="dcterms:W3CDTF">2025-08-07T08:46:00Z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