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39823F96" w:rsidR="00266808" w:rsidRPr="00EB34D5" w:rsidRDefault="00D51474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Droit de vote</w:t>
      </w:r>
    </w:p>
    <w:p w14:paraId="392E7F99" w14:textId="64175A2A" w:rsidR="00266808" w:rsidRPr="00EB34D5" w:rsidRDefault="00D5147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Pour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 toute 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 vous devez avoir le droit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47E1EDF1" w14:textId="4B09F4A3" w:rsidR="00266808" w:rsidRPr="00EB34D5" w:rsidRDefault="00D5147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devez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41721CD4" w14:textId="0BF3E142" w:rsidR="00266808" w:rsidRPr="00EB34D5" w:rsidRDefault="00D51474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avoir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18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ans ou plus le jour du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et</w:t>
      </w:r>
    </w:p>
    <w:p w14:paraId="51C8C888" w14:textId="0C323705" w:rsidR="00266808" w:rsidRPr="00EB34D5" w:rsidRDefault="00D51474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side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n Irland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et</w:t>
      </w:r>
    </w:p>
    <w:p w14:paraId="1EC1E93E" w14:textId="51229F45" w:rsidR="00266808" w:rsidRPr="00EB34D5" w:rsidRDefault="00D51474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hyperlink r:id="rId8" w:history="1">
        <w:r w:rsidR="009C66A4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être</w:t>
        </w:r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 xml:space="preserve"> inscri</w:t>
        </w:r>
        <w:r w:rsidR="009C66A4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t</w:t>
        </w:r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 xml:space="preserve"> pour</w:t>
        </w:r>
        <w:r w:rsidR="00266808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 xml:space="preserve"> vot</w:t>
        </w:r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er</w:t>
        </w:r>
      </w:hyperlink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101DAF37" w14:textId="5D6F2539" w:rsidR="00266808" w:rsidRPr="00EB34D5" w:rsidRDefault="00D5147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Même si vous avez le droit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,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ne pouvez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pas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 moins d’être inscrit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sur la liste électorale 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Register of Electors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 </w:t>
      </w:r>
    </w:p>
    <w:p w14:paraId="5DD79397" w14:textId="7F60838E" w:rsidR="00266808" w:rsidRPr="00EB34D5" w:rsidRDefault="00D51474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Qui peut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 aux é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s </w:t>
      </w:r>
      <w:r w:rsidR="00D90E99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législatives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3245F40E" w14:textId="34A3CF6E" w:rsidR="00266808" w:rsidRPr="00EB34D5" w:rsidRDefault="00D5147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pouvez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 une 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législative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462F6E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462F6E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general election</w:t>
      </w:r>
      <w:r w:rsidR="00462F6E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)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 vous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40B07BA7" w14:textId="30906171" w:rsidR="00266808" w:rsidRPr="00EB34D5" w:rsidRDefault="00D51474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bookmarkStart w:id="0" w:name="_Hlk205373173"/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êtes u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citoyen irlandais </w:t>
      </w:r>
      <w:bookmarkEnd w:id="0"/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ou britannique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r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sid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nt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n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Irlande et</w:t>
      </w:r>
    </w:p>
    <w:p w14:paraId="4D8482D8" w14:textId="5B1F901D" w:rsidR="00266808" w:rsidRPr="00EB34D5" w:rsidRDefault="00D51474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avez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18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ans ou plus le jour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de l’é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et</w:t>
      </w:r>
    </w:p>
    <w:p w14:paraId="6F9C75C0" w14:textId="77F0D1F2" w:rsidR="00266808" w:rsidRPr="00EB34D5" w:rsidRDefault="00D51474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hyperlink r:id="rId9" w:history="1"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 xml:space="preserve">êtes inscrit pour </w:t>
        </w:r>
        <w:r w:rsidR="00266808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vot</w:t>
        </w:r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er</w:t>
        </w:r>
      </w:hyperlink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605E4C6C" w14:textId="42746888" w:rsidR="00266808" w:rsidRPr="00EB34D5" w:rsidRDefault="00462F6E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Qui peut  voter aux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s municipales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1CA6A6E0" w14:textId="5BBA31E4" w:rsidR="00266808" w:rsidRPr="00EB34D5" w:rsidRDefault="00462F6E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Tous ceux qui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sident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habituellement 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sur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le territoire ont le droit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</w:t>
      </w:r>
      <w:hyperlink r:id="rId10" w:history="1">
        <w:r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s’inscrire</w:t>
        </w:r>
      </w:hyperlink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sur la liste électorale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 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 xml:space="preserve">Vous n’avez pas besoin d’être un citoyen </w:t>
      </w:r>
      <w:r w:rsidR="00D90E99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irlandais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 xml:space="preserve"> pour </w:t>
      </w:r>
      <w:r w:rsidR="00266808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r à une é</w:t>
      </w:r>
      <w:r w:rsidR="00266808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 xml:space="preserve"> municipale</w:t>
      </w:r>
      <w:r w:rsidR="00266808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405C9878" w14:textId="23CCBC48" w:rsidR="00266808" w:rsidRPr="00EB34D5" w:rsidRDefault="00462F6E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Pour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une 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municipale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(</w:t>
      </w:r>
      <w:r w:rsidR="009C66A4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local election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,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devez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3B521D2B" w14:textId="2715D75D" w:rsidR="00266808" w:rsidRPr="00EB34D5" w:rsidRDefault="00462F6E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avoir 18 ans ou plus et</w:t>
      </w:r>
    </w:p>
    <w:p w14:paraId="5835D1D6" w14:textId="306B0892" w:rsidR="00266808" w:rsidRPr="00EB34D5" w:rsidRDefault="00462F6E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vivre dans la </w:t>
      </w:r>
      <w:r w:rsidR="00D90E99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circonscription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électorale municipale et</w:t>
      </w:r>
    </w:p>
    <w:p w14:paraId="23BFE911" w14:textId="62546209" w:rsidR="00266808" w:rsidRPr="00EB34D5" w:rsidRDefault="00462F6E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être inscrit sur la liste électoral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e.</w:t>
      </w:r>
    </w:p>
    <w:p w14:paraId="145D015A" w14:textId="59CAA246" w:rsidR="00266808" w:rsidRPr="00EB34D5" w:rsidRDefault="00462F6E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Qui peut 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 aux élections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parlementaires européennes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4F099ACF" w14:textId="15ABB979" w:rsidR="00266808" w:rsidRPr="00EB34D5" w:rsidRDefault="00462F6E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Tout citoyen irlandais </w:t>
      </w:r>
      <w:r w:rsidR="009C66A4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âgé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de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18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ans ou plus et inscrit sur la liste électorale peut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aux 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 européennes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.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Si vous êtes un citoyen irlandais, mais que vous vivez dans un autre pays de l’Union européenne, vous pouvez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er dans ce pays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3E84CB1F" w14:textId="77F708DB" w:rsidR="00266808" w:rsidRPr="00EB34D5" w:rsidRDefault="00462F6E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 vous venez d’un autre État membre de l’Union européenne, mais que vous vivez en Irlande, vous pouvez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aux élections européennes en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Irland</w:t>
      </w:r>
      <w:r w:rsidR="00D1445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  <w:r w:rsidR="00D1445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Pour ce faire, votre nom doit être inscrit sur la liste </w:t>
      </w:r>
      <w:r w:rsidR="00D90E99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électorale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D1445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hyperlink r:id="rId11" w:history="1">
        <w:r w:rsidR="00266808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register of electors</w:t>
        </w:r>
      </w:hyperlink>
      <w:r w:rsidR="00D14458" w:rsidRPr="00EB34D5">
        <w:rPr>
          <w:lang w:val="fr-FR"/>
        </w:rPr>
        <w:t>)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07712886" w14:textId="10BABBD5" w:rsidR="00266808" w:rsidRPr="00EB34D5" w:rsidRDefault="00D1445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Si vous être un citoyen de l’Union européenne, mais que vous n’étiez pas auparavant inscrit pour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 une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lection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européenne 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n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Irlande, vous devez faire une demande d’inscription et remplir le formulaire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d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claration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solennelle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 </w:t>
      </w:r>
      <w:hyperlink r:id="rId12" w:history="1">
        <w:proofErr w:type="spellStart"/>
        <w:r w:rsidR="00266808" w:rsidRPr="00EB34D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fr-FR" w:eastAsia="en-IE"/>
            <w14:ligatures w14:val="none"/>
          </w:rPr>
          <w:t>EP1</w:t>
        </w:r>
        <w:proofErr w:type="spellEnd"/>
      </w:hyperlink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.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d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clarations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solennelles sont envoyées à votre État membre d’origine pour éviter le vote multiple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1B2C625E" w14:textId="0DAD98B9" w:rsidR="00266808" w:rsidRPr="00EB34D5" w:rsidRDefault="00D1445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Vous ne pouvez pas</w:t>
      </w:r>
      <w:r w:rsidR="00266808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r aux é</w:t>
      </w:r>
      <w:r w:rsidR="00266808"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fr-FR" w:eastAsia="en-IE"/>
          <w14:ligatures w14:val="none"/>
        </w:rPr>
        <w:t>s européennes dans plus d’une circonscription ou plus d’un pays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10C660C8" w14:textId="6245660E" w:rsidR="00266808" w:rsidRPr="00EB34D5" w:rsidRDefault="00D1445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lastRenderedPageBreak/>
        <w:t>Qui peut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 à un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r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f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é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rendum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257B87B7" w14:textId="0EF94A7B" w:rsidR="00266808" w:rsidRPr="00EB34D5" w:rsidRDefault="00D14458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pouvez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er à un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r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éfé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rendum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si vous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0F122DA8" w14:textId="0966558D" w:rsidR="00266808" w:rsidRPr="00EB34D5" w:rsidRDefault="00D1445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bookmarkStart w:id="1" w:name="_Hlk205374018"/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êtes un citoyen irlandais et</w:t>
      </w:r>
    </w:p>
    <w:bookmarkEnd w:id="1"/>
    <w:p w14:paraId="476E4605" w14:textId="7B20A41E" w:rsidR="00266808" w:rsidRPr="00EB34D5" w:rsidRDefault="00D14458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êtes inscrit sur la liste électorale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, 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la liste </w:t>
      </w:r>
      <w:r w:rsidR="00D90E99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électorale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840F4A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de vote par correspondance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Postal Voter’s List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) ou la liste 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des électeurs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spécia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ux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Special Voter’s List</w:t>
      </w:r>
      <w:r w:rsidR="0061218F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 et</w:t>
      </w:r>
    </w:p>
    <w:p w14:paraId="6C810C4C" w14:textId="53905AEE" w:rsidR="00266808" w:rsidRPr="00EB34D5" w:rsidRDefault="0061218F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avez 18 ans ou plus le jour du vote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2DC1C1B0" w14:textId="7ACB9351" w:rsidR="00266808" w:rsidRPr="00EB34D5" w:rsidRDefault="00D90E99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Qui</w:t>
      </w:r>
      <w:r w:rsidR="0061218F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peut voter aux élections du Sénat irlandais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7D303CFF" w14:textId="7E6493EF" w:rsidR="00266808" w:rsidRPr="00EB34D5" w:rsidRDefault="0061218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Pour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aux élections du Sénat irlandais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Seanad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,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vous devez être un citoyen irlandais et être dans un des cas suivants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3EA10E74" w14:textId="28F78247" w:rsidR="00266808" w:rsidRPr="00EB34D5" w:rsidRDefault="0061218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 diplômé de l’université nationale d’Irlande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National University of Ireland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ou NUI)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(o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 une université reconnue par la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NUI)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</w:t>
      </w:r>
    </w:p>
    <w:p w14:paraId="43B44FE2" w14:textId="3A4DAFB1" w:rsidR="00266808" w:rsidRPr="00EB34D5" w:rsidRDefault="0061218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 diplômé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Trinity College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</w:t>
      </w:r>
    </w:p>
    <w:p w14:paraId="77695F79" w14:textId="3B7E0CED" w:rsidR="00266808" w:rsidRPr="00EB34D5" w:rsidRDefault="0061218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 membre du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Parlement irlandais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Dáil Eireann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)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 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Teachta Dála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ou membre du parlement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</w:t>
      </w:r>
    </w:p>
    <w:p w14:paraId="2080A503" w14:textId="6DC2A5DA" w:rsidR="00266808" w:rsidRPr="00EB34D5" w:rsidRDefault="0061218F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 membre sortant du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266808" w:rsidRPr="00EB34D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fr-FR" w:eastAsia="en-IE"/>
          <w14:ligatures w14:val="none"/>
        </w:rPr>
        <w:t>Seanad</w:t>
      </w:r>
      <w:r w:rsidR="00C21716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</w:t>
      </w:r>
    </w:p>
    <w:p w14:paraId="024727E7" w14:textId="1BA9DB9B" w:rsidR="00266808" w:rsidRPr="00EB34D5" w:rsidRDefault="0061218F" w:rsidP="00D56A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un membre d’un conseil municipal ou départemental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(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un conseiller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)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7ED28B27" w14:textId="3F57DFC4" w:rsidR="00266808" w:rsidRPr="00EB34D5" w:rsidRDefault="00D56A7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Si vous avez le droit, vous pouvez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r dans les </w:t>
      </w:r>
      <w:r w:rsidR="00D90E99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circonscriptions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de la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NUI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et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Trinity College,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même si vous résidez en </w:t>
      </w:r>
      <w:r w:rsidR="00D90E99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dehors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de l’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Irland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6E3146E3" w14:textId="77E3615D" w:rsidR="00266808" w:rsidRPr="00EB34D5" w:rsidRDefault="00D56A7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Qui peut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 à une é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présidentielle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73795CA3" w14:textId="6A480625" w:rsidR="00266808" w:rsidRPr="00EB34D5" w:rsidRDefault="00D56A7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Pour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er à une 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lection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présidentielle, vous devez 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:</w:t>
      </w:r>
    </w:p>
    <w:p w14:paraId="11E3C1E5" w14:textId="6613EF8C" w:rsidR="00266808" w:rsidRPr="00EB34D5" w:rsidRDefault="00D56A7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un citoyen irlandais et</w:t>
      </w:r>
    </w:p>
    <w:p w14:paraId="69921839" w14:textId="5ADE8840" w:rsidR="00266808" w:rsidRPr="00EB34D5" w:rsidRDefault="00D56A7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av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oir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18 ans ou plus et</w:t>
      </w:r>
    </w:p>
    <w:p w14:paraId="24B83F17" w14:textId="65B02FE6" w:rsidR="00266808" w:rsidRPr="00EB34D5" w:rsidRDefault="00266808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side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habituellement 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n 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Irlande et</w:t>
      </w:r>
    </w:p>
    <w:p w14:paraId="4B591CE9" w14:textId="4B77EB1C" w:rsidR="00266808" w:rsidRPr="00EB34D5" w:rsidRDefault="00D56A7B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êt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inscrit pour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.</w:t>
      </w:r>
    </w:p>
    <w:p w14:paraId="34B70264" w14:textId="27307179" w:rsidR="00266808" w:rsidRPr="00EB34D5" w:rsidRDefault="00D56A7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Qui peut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r aux élections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du maire de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 xml:space="preserve"> Limerick</w:t>
      </w:r>
      <w:r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 </w:t>
      </w:r>
      <w:r w:rsidR="00266808" w:rsidRPr="00EB34D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fr-FR" w:eastAsia="en-IE"/>
          <w14:ligatures w14:val="none"/>
        </w:rPr>
        <w:t>?</w:t>
      </w:r>
    </w:p>
    <w:p w14:paraId="6BE397CF" w14:textId="7C63C6B5" w:rsidR="00266808" w:rsidRPr="00EB34D5" w:rsidRDefault="00D56A7B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Pour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à l’é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lection 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du maire du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Limerick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, vous devez :</w:t>
      </w:r>
    </w:p>
    <w:p w14:paraId="1543C61B" w14:textId="68DAE873" w:rsidR="00266808" w:rsidRPr="00EB34D5" w:rsidRDefault="00D56A7B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avoir 18 ans ou plus et</w:t>
      </w:r>
    </w:p>
    <w:p w14:paraId="6413AE7B" w14:textId="3E583D0F" w:rsidR="00266808" w:rsidRPr="00EB34D5" w:rsidRDefault="0026680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é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side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</w:t>
      </w:r>
      <w:r w:rsidR="00116B73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sur</w:t>
      </w:r>
      <w:r w:rsidR="00D56A7B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le territoire et</w:t>
      </w:r>
    </w:p>
    <w:p w14:paraId="1319F910" w14:textId="6E1FA151" w:rsidR="006336CE" w:rsidRPr="00EB34D5" w:rsidRDefault="00D56A7B" w:rsidP="00EB34D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</w:pP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être inscrit pour 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vote</w:t>
      </w:r>
      <w:r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>r dans les circonscriptions électorales de la ville et du comté de</w:t>
      </w:r>
      <w:r w:rsidR="00266808" w:rsidRPr="00EB34D5">
        <w:rPr>
          <w:rFonts w:ascii="Arial" w:eastAsia="Times New Roman" w:hAnsi="Arial" w:cs="Arial"/>
          <w:color w:val="212529"/>
          <w:kern w:val="0"/>
          <w:sz w:val="20"/>
          <w:szCs w:val="20"/>
          <w:lang w:val="fr-FR" w:eastAsia="en-IE"/>
          <w14:ligatures w14:val="none"/>
        </w:rPr>
        <w:t xml:space="preserve"> Limerick.</w:t>
      </w:r>
    </w:p>
    <w:sectPr w:rsidR="006336CE" w:rsidRPr="00EB3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116B73"/>
    <w:rsid w:val="00266808"/>
    <w:rsid w:val="00462F6E"/>
    <w:rsid w:val="00502CCE"/>
    <w:rsid w:val="0061218F"/>
    <w:rsid w:val="006336CE"/>
    <w:rsid w:val="00840F4A"/>
    <w:rsid w:val="00904E5E"/>
    <w:rsid w:val="00990075"/>
    <w:rsid w:val="009C66A4"/>
    <w:rsid w:val="00C21716"/>
    <w:rsid w:val="00D14458"/>
    <w:rsid w:val="00D238F1"/>
    <w:rsid w:val="00D51474"/>
    <w:rsid w:val="00D56A7B"/>
    <w:rsid w:val="00D90E99"/>
    <w:rsid w:val="00DF17D9"/>
    <w:rsid w:val="00E12197"/>
    <w:rsid w:val="00EB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hecktheregister.ie/en-IE/for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hecktheregister.ie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3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Véronique Eloir</cp:lastModifiedBy>
  <cp:revision>8</cp:revision>
  <dcterms:created xsi:type="dcterms:W3CDTF">2025-08-06T11:04:00Z</dcterms:created>
  <dcterms:modified xsi:type="dcterms:W3CDTF">2025-08-07T09:01:00Z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