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732" cy="9841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32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1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Purchase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Order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over €20,000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for the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period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of 01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January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2025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– 31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March</w:t>
      </w:r>
      <w:r>
        <w:rPr>
          <w:b/>
          <w:spacing w:val="-4"/>
          <w:w w:val="105"/>
          <w:sz w:val="22"/>
        </w:rPr>
        <w:t> 2025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4395"/>
        <w:gridCol w:w="2127"/>
        <w:gridCol w:w="2552"/>
        <w:gridCol w:w="2756"/>
      </w:tblGrid>
      <w:tr>
        <w:trPr>
          <w:trHeight w:val="755" w:hRule="atLeast"/>
        </w:trPr>
        <w:tc>
          <w:tcPr>
            <w:tcW w:w="2122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3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4395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0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Purchase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127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8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Amount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2552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9" w:right="2"/>
              <w:rPr>
                <w:b/>
                <w:sz w:val="22"/>
              </w:rPr>
            </w:pPr>
            <w:r>
              <w:rPr>
                <w:b/>
                <w:sz w:val="22"/>
              </w:rPr>
              <w:t>PO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756" w:type="dxa"/>
            <w:shd w:val="clear" w:color="auto" w:fill="8EAADB"/>
          </w:tcPr>
          <w:p>
            <w:pPr>
              <w:pStyle w:val="TableParagraph"/>
              <w:spacing w:line="240" w:lineRule="auto" w:before="23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Paid</w:t>
            </w:r>
          </w:p>
        </w:tc>
      </w:tr>
      <w:tr>
        <w:trPr>
          <w:trHeight w:val="287" w:hRule="atLeast"/>
        </w:trPr>
        <w:tc>
          <w:tcPr>
            <w:tcW w:w="2122" w:type="dxa"/>
          </w:tcPr>
          <w:p>
            <w:pPr>
              <w:pStyle w:val="TableParagraph"/>
              <w:ind w:left="13" w:right="5"/>
              <w:rPr>
                <w:sz w:val="22"/>
              </w:rPr>
            </w:pPr>
            <w:r>
              <w:rPr>
                <w:spacing w:val="-2"/>
                <w:sz w:val="22"/>
              </w:rPr>
              <w:t>Mindshare</w:t>
            </w:r>
          </w:p>
        </w:tc>
        <w:tc>
          <w:tcPr>
            <w:tcW w:w="4395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12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141,919.00</w:t>
            </w:r>
          </w:p>
        </w:tc>
        <w:tc>
          <w:tcPr>
            <w:tcW w:w="2552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2025.039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87" w:hRule="atLeast"/>
        </w:trPr>
        <w:tc>
          <w:tcPr>
            <w:tcW w:w="2122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spacing w:val="-10"/>
                <w:w w:val="110"/>
                <w:sz w:val="22"/>
              </w:rPr>
              <w:t>C</w:t>
            </w:r>
          </w:p>
        </w:tc>
        <w:tc>
          <w:tcPr>
            <w:tcW w:w="4395" w:type="dxa"/>
          </w:tcPr>
          <w:p>
            <w:pPr>
              <w:pStyle w:val="TableParagraph"/>
              <w:ind w:left="10" w:right="5"/>
              <w:rPr>
                <w:sz w:val="22"/>
              </w:rPr>
            </w:pPr>
            <w:r>
              <w:rPr>
                <w:spacing w:val="-2"/>
                <w:sz w:val="22"/>
              </w:rPr>
              <w:t>Polling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127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111,050.00</w:t>
            </w:r>
          </w:p>
        </w:tc>
        <w:tc>
          <w:tcPr>
            <w:tcW w:w="2552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2025.084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90" w:hRule="atLeast"/>
        </w:trPr>
        <w:tc>
          <w:tcPr>
            <w:tcW w:w="2122" w:type="dxa"/>
          </w:tcPr>
          <w:p>
            <w:pPr>
              <w:pStyle w:val="TableParagraph"/>
              <w:spacing w:before="18"/>
              <w:ind w:left="13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DCU</w:t>
            </w:r>
          </w:p>
        </w:tc>
        <w:tc>
          <w:tcPr>
            <w:tcW w:w="4395" w:type="dxa"/>
          </w:tcPr>
          <w:p>
            <w:pPr>
              <w:pStyle w:val="TableParagraph"/>
              <w:spacing w:before="18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Postering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"/>
              <w:ind w:left="8" w:right="1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  <w:tc>
          <w:tcPr>
            <w:tcW w:w="2552" w:type="dxa"/>
          </w:tcPr>
          <w:p>
            <w:pPr>
              <w:pStyle w:val="TableParagraph"/>
              <w:spacing w:before="18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2025.096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287" w:hRule="atLeast"/>
        </w:trPr>
        <w:tc>
          <w:tcPr>
            <w:tcW w:w="2122" w:type="dxa"/>
          </w:tcPr>
          <w:p>
            <w:pPr>
              <w:pStyle w:val="TableParagraph"/>
              <w:ind w:left="13" w:right="2"/>
              <w:rPr>
                <w:sz w:val="22"/>
              </w:rPr>
            </w:pPr>
            <w:r>
              <w:rPr>
                <w:spacing w:val="-5"/>
                <w:sz w:val="22"/>
              </w:rPr>
              <w:t>OPW</w:t>
            </w:r>
          </w:p>
        </w:tc>
        <w:tc>
          <w:tcPr>
            <w:tcW w:w="4395" w:type="dxa"/>
          </w:tcPr>
          <w:p>
            <w:pPr>
              <w:pStyle w:val="TableParagraph"/>
              <w:ind w:left="10" w:right="3"/>
              <w:rPr>
                <w:sz w:val="22"/>
              </w:rPr>
            </w:pPr>
            <w:r>
              <w:rPr>
                <w:spacing w:val="-2"/>
                <w:sz w:val="22"/>
              </w:rPr>
              <w:t>Premises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2127" w:type="dxa"/>
          </w:tcPr>
          <w:p>
            <w:pPr>
              <w:pStyle w:val="TableParagraph"/>
              <w:ind w:left="8" w:right="1"/>
              <w:rPr>
                <w:sz w:val="22"/>
              </w:rPr>
            </w:pPr>
            <w:r>
              <w:rPr>
                <w:spacing w:val="-2"/>
                <w:sz w:val="22"/>
              </w:rPr>
              <w:t>33,700.00</w:t>
            </w:r>
          </w:p>
        </w:tc>
        <w:tc>
          <w:tcPr>
            <w:tcW w:w="2552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2025.100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</w:tr>
      <w:tr>
        <w:trPr>
          <w:trHeight w:val="287" w:hRule="atLeast"/>
        </w:trPr>
        <w:tc>
          <w:tcPr>
            <w:tcW w:w="2122" w:type="dxa"/>
          </w:tcPr>
          <w:p>
            <w:pPr>
              <w:pStyle w:val="TableParagraph"/>
              <w:ind w:left="13" w:right="3"/>
              <w:rPr>
                <w:sz w:val="22"/>
              </w:rPr>
            </w:pPr>
            <w:r>
              <w:rPr>
                <w:spacing w:val="-2"/>
                <w:sz w:val="22"/>
              </w:rPr>
              <w:t>McCann Fitzgerald</w:t>
            </w:r>
          </w:p>
        </w:tc>
        <w:tc>
          <w:tcPr>
            <w:tcW w:w="4395" w:type="dxa"/>
          </w:tcPr>
          <w:p>
            <w:pPr>
              <w:pStyle w:val="TableParagraph"/>
              <w:ind w:left="10" w:right="1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127" w:type="dxa"/>
          </w:tcPr>
          <w:p>
            <w:pPr>
              <w:pStyle w:val="TableParagraph"/>
              <w:ind w:left="8" w:right="1"/>
              <w:rPr>
                <w:sz w:val="22"/>
              </w:rPr>
            </w:pPr>
            <w:r>
              <w:rPr>
                <w:spacing w:val="-2"/>
                <w:sz w:val="22"/>
              </w:rPr>
              <w:t>23,920.98</w:t>
            </w:r>
          </w:p>
        </w:tc>
        <w:tc>
          <w:tcPr>
            <w:tcW w:w="2552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2025.308</w:t>
            </w:r>
          </w:p>
        </w:tc>
        <w:tc>
          <w:tcPr>
            <w:tcW w:w="2756" w:type="dxa"/>
          </w:tcPr>
          <w:p>
            <w:pPr>
              <w:pStyle w:val="TableParagraph"/>
              <w:spacing w:line="265" w:lineRule="exact" w:before="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sz w:val="22"/>
        </w:rPr>
        <w:t>All</w:t>
      </w:r>
      <w:r>
        <w:rPr>
          <w:spacing w:val="16"/>
          <w:sz w:val="22"/>
        </w:rPr>
        <w:t> </w:t>
      </w:r>
      <w:r>
        <w:rPr>
          <w:sz w:val="22"/>
        </w:rPr>
        <w:t>Purchase</w:t>
      </w:r>
      <w:r>
        <w:rPr>
          <w:spacing w:val="15"/>
          <w:sz w:val="22"/>
        </w:rPr>
        <w:t> </w:t>
      </w:r>
      <w:r>
        <w:rPr>
          <w:sz w:val="22"/>
        </w:rPr>
        <w:t>Orders</w:t>
      </w:r>
      <w:r>
        <w:rPr>
          <w:spacing w:val="15"/>
          <w:sz w:val="22"/>
        </w:rPr>
        <w:t> </w:t>
      </w:r>
      <w:r>
        <w:rPr>
          <w:sz w:val="22"/>
        </w:rPr>
        <w:t>are</w:t>
      </w:r>
      <w:r>
        <w:rPr>
          <w:spacing w:val="15"/>
          <w:sz w:val="22"/>
        </w:rPr>
        <w:t> </w:t>
      </w:r>
      <w:r>
        <w:rPr>
          <w:sz w:val="22"/>
        </w:rPr>
        <w:t>VAT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exclusive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Suppliers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PSWT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deducted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payment,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decrease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amount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remitted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€20,000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22" w:after="0"/>
        <w:ind w:left="743" w:right="320" w:hanging="360"/>
        <w:jc w:val="left"/>
        <w:rPr>
          <w:sz w:val="22"/>
        </w:rPr>
      </w:pPr>
      <w:r>
        <w:rPr>
          <w:sz w:val="22"/>
        </w:rPr>
        <w:t>Although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Purchase</w:t>
      </w:r>
      <w:r>
        <w:rPr>
          <w:spacing w:val="23"/>
          <w:sz w:val="22"/>
        </w:rPr>
        <w:t> </w:t>
      </w:r>
      <w:r>
        <w:rPr>
          <w:sz w:val="22"/>
        </w:rPr>
        <w:t>Order</w:t>
      </w:r>
      <w:r>
        <w:rPr>
          <w:spacing w:val="27"/>
          <w:sz w:val="22"/>
        </w:rPr>
        <w:t> </w:t>
      </w:r>
      <w:r>
        <w:rPr>
          <w:sz w:val="22"/>
        </w:rPr>
        <w:t>may</w:t>
      </w:r>
      <w:r>
        <w:rPr>
          <w:spacing w:val="23"/>
          <w:sz w:val="22"/>
        </w:rPr>
        <w:t> </w:t>
      </w:r>
      <w:r>
        <w:rPr>
          <w:sz w:val="22"/>
        </w:rPr>
        <w:t>have</w:t>
      </w:r>
      <w:r>
        <w:rPr>
          <w:spacing w:val="23"/>
          <w:sz w:val="22"/>
        </w:rPr>
        <w:t> </w:t>
      </w:r>
      <w:r>
        <w:rPr>
          <w:sz w:val="22"/>
        </w:rPr>
        <w:t>been</w:t>
      </w:r>
      <w:r>
        <w:rPr>
          <w:spacing w:val="22"/>
          <w:sz w:val="22"/>
        </w:rPr>
        <w:t> </w:t>
      </w:r>
      <w:r>
        <w:rPr>
          <w:sz w:val="22"/>
        </w:rPr>
        <w:t>raised</w:t>
      </w:r>
      <w:r>
        <w:rPr>
          <w:spacing w:val="27"/>
          <w:sz w:val="22"/>
        </w:rPr>
        <w:t> </w:t>
      </w:r>
      <w:r>
        <w:rPr>
          <w:sz w:val="22"/>
        </w:rPr>
        <w:t>it</w:t>
      </w:r>
      <w:r>
        <w:rPr>
          <w:spacing w:val="22"/>
          <w:sz w:val="22"/>
        </w:rPr>
        <w:t> </w:t>
      </w:r>
      <w:r>
        <w:rPr>
          <w:sz w:val="22"/>
        </w:rPr>
        <w:t>is</w:t>
      </w:r>
      <w:r>
        <w:rPr>
          <w:spacing w:val="23"/>
          <w:sz w:val="22"/>
        </w:rPr>
        <w:t> </w:t>
      </w:r>
      <w:r>
        <w:rPr>
          <w:sz w:val="22"/>
        </w:rPr>
        <w:t>possible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22"/>
          <w:sz w:val="22"/>
        </w:rPr>
        <w:t> </w:t>
      </w:r>
      <w:r>
        <w:rPr>
          <w:sz w:val="22"/>
        </w:rPr>
        <w:t>no</w:t>
      </w:r>
      <w:r>
        <w:rPr>
          <w:spacing w:val="27"/>
          <w:sz w:val="22"/>
        </w:rPr>
        <w:t> </w:t>
      </w:r>
      <w:r>
        <w:rPr>
          <w:sz w:val="22"/>
        </w:rPr>
        <w:t>payment</w:t>
      </w:r>
      <w:r>
        <w:rPr>
          <w:spacing w:val="22"/>
          <w:sz w:val="22"/>
        </w:rPr>
        <w:t> </w:t>
      </w:r>
      <w:r>
        <w:rPr>
          <w:sz w:val="22"/>
        </w:rPr>
        <w:t>has</w:t>
      </w:r>
      <w:r>
        <w:rPr>
          <w:spacing w:val="23"/>
          <w:sz w:val="22"/>
        </w:rPr>
        <w:t> </w:t>
      </w:r>
      <w:r>
        <w:rPr>
          <w:sz w:val="22"/>
        </w:rPr>
        <w:t>been</w:t>
      </w:r>
      <w:r>
        <w:rPr>
          <w:spacing w:val="22"/>
          <w:sz w:val="22"/>
        </w:rPr>
        <w:t> </w:t>
      </w:r>
      <w:r>
        <w:rPr>
          <w:sz w:val="22"/>
        </w:rPr>
        <w:t>made</w:t>
      </w:r>
      <w:r>
        <w:rPr>
          <w:spacing w:val="20"/>
          <w:sz w:val="22"/>
        </w:rPr>
        <w:t> </w:t>
      </w:r>
      <w:r>
        <w:rPr>
          <w:sz w:val="22"/>
        </w:rPr>
        <w:t>yet.</w:t>
      </w:r>
      <w:r>
        <w:rPr>
          <w:spacing w:val="25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these</w:t>
      </w:r>
      <w:r>
        <w:rPr>
          <w:spacing w:val="23"/>
          <w:sz w:val="22"/>
        </w:rPr>
        <w:t> </w:t>
      </w:r>
      <w:r>
        <w:rPr>
          <w:sz w:val="22"/>
        </w:rPr>
        <w:t>cases, ‘N’ appears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paid </w:t>
      </w:r>
      <w:r>
        <w:rPr>
          <w:spacing w:val="-2"/>
          <w:w w:val="110"/>
          <w:sz w:val="22"/>
        </w:rPr>
        <w:t>column.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Purchase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Orders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excluded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publication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precluded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Freedom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legislation</w:t>
      </w:r>
    </w:p>
    <w:sectPr>
      <w:type w:val="continuous"/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52" w:lineRule="exact"/>
      <w:ind w:left="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:title>POs Over 20k Q1 2025</dc:title>
  <dcterms:created xsi:type="dcterms:W3CDTF">2026-05-19T14:31:44Z</dcterms:created>
  <dcterms:modified xsi:type="dcterms:W3CDTF">2026-05-19T14:31:44Z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