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9708" w14:textId="1970DAC7" w:rsidR="002117D9" w:rsidRDefault="00D52956" w:rsidP="00171744">
      <w:pPr>
        <w:spacing w:line="480" w:lineRule="auto"/>
        <w:ind w:firstLine="720"/>
        <w:jc w:val="both"/>
        <w:rPr>
          <w:rFonts w:ascii="Times New Roman" w:hAnsi="Times New Roman" w:cs="Times New Roman"/>
          <w:sz w:val="28"/>
          <w:szCs w:val="28"/>
        </w:rPr>
      </w:pPr>
      <w:r>
        <w:rPr>
          <w:rFonts w:ascii="Times New Roman" w:hAnsi="Times New Roman" w:cs="Times New Roman"/>
          <w:noProof/>
          <w:sz w:val="28"/>
          <w:szCs w:val="28"/>
          <w14:ligatures w14:val="standardContextual"/>
        </w:rPr>
        <w:drawing>
          <wp:anchor distT="0" distB="0" distL="114300" distR="114300" simplePos="0" relativeHeight="251659264" behindDoc="0" locked="0" layoutInCell="1" allowOverlap="1" wp14:anchorId="1985C08A" wp14:editId="1E2ACD0D">
            <wp:simplePos x="0" y="0"/>
            <wp:positionH relativeFrom="page">
              <wp:align>left</wp:align>
            </wp:positionH>
            <wp:positionV relativeFrom="paragraph">
              <wp:posOffset>-911860</wp:posOffset>
            </wp:positionV>
            <wp:extent cx="7643060" cy="10810875"/>
            <wp:effectExtent l="0" t="0" r="0" b="0"/>
            <wp:wrapNone/>
            <wp:docPr id="504364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364112" name="Picture 504364112"/>
                    <pic:cNvPicPr/>
                  </pic:nvPicPr>
                  <pic:blipFill>
                    <a:blip r:embed="rId11">
                      <a:extLst>
                        <a:ext uri="{28A0092B-C50C-407E-A947-70E740481C1C}">
                          <a14:useLocalDpi xmlns:a14="http://schemas.microsoft.com/office/drawing/2010/main" val="0"/>
                        </a:ext>
                      </a:extLst>
                    </a:blip>
                    <a:stretch>
                      <a:fillRect/>
                    </a:stretch>
                  </pic:blipFill>
                  <pic:spPr>
                    <a:xfrm>
                      <a:off x="0" y="0"/>
                      <a:ext cx="7645157" cy="10813841"/>
                    </a:xfrm>
                    <a:prstGeom prst="rect">
                      <a:avLst/>
                    </a:prstGeom>
                  </pic:spPr>
                </pic:pic>
              </a:graphicData>
            </a:graphic>
            <wp14:sizeRelH relativeFrom="margin">
              <wp14:pctWidth>0</wp14:pctWidth>
            </wp14:sizeRelH>
            <wp14:sizeRelV relativeFrom="margin">
              <wp14:pctHeight>0</wp14:pctHeight>
            </wp14:sizeRelV>
          </wp:anchor>
        </w:drawing>
      </w:r>
    </w:p>
    <w:p w14:paraId="7752E50F" w14:textId="77777777" w:rsidR="002117D9" w:rsidRDefault="002117D9" w:rsidP="00171744">
      <w:pPr>
        <w:spacing w:line="480" w:lineRule="auto"/>
        <w:ind w:firstLine="720"/>
        <w:jc w:val="both"/>
        <w:rPr>
          <w:rFonts w:ascii="Times New Roman" w:hAnsi="Times New Roman" w:cs="Times New Roman"/>
          <w:sz w:val="28"/>
          <w:szCs w:val="28"/>
        </w:rPr>
      </w:pPr>
    </w:p>
    <w:p w14:paraId="6E846731" w14:textId="77777777" w:rsidR="002117D9" w:rsidRDefault="002117D9" w:rsidP="00171744">
      <w:pPr>
        <w:spacing w:line="480" w:lineRule="auto"/>
        <w:ind w:firstLine="720"/>
        <w:jc w:val="both"/>
        <w:rPr>
          <w:rFonts w:ascii="Times New Roman" w:hAnsi="Times New Roman" w:cs="Times New Roman"/>
          <w:sz w:val="28"/>
          <w:szCs w:val="28"/>
        </w:rPr>
      </w:pPr>
    </w:p>
    <w:p w14:paraId="53FCC07E" w14:textId="77777777" w:rsidR="002117D9" w:rsidRDefault="002117D9" w:rsidP="00171744">
      <w:pPr>
        <w:spacing w:line="480" w:lineRule="auto"/>
        <w:ind w:firstLine="720"/>
        <w:jc w:val="both"/>
        <w:rPr>
          <w:rFonts w:ascii="Times New Roman" w:hAnsi="Times New Roman" w:cs="Times New Roman"/>
          <w:sz w:val="28"/>
          <w:szCs w:val="28"/>
        </w:rPr>
      </w:pPr>
    </w:p>
    <w:p w14:paraId="7971873E" w14:textId="77777777" w:rsidR="002117D9" w:rsidRDefault="002117D9" w:rsidP="00171744">
      <w:pPr>
        <w:spacing w:line="480" w:lineRule="auto"/>
        <w:ind w:firstLine="720"/>
        <w:jc w:val="both"/>
        <w:rPr>
          <w:rFonts w:ascii="Times New Roman" w:hAnsi="Times New Roman" w:cs="Times New Roman"/>
          <w:sz w:val="28"/>
          <w:szCs w:val="28"/>
        </w:rPr>
      </w:pPr>
    </w:p>
    <w:p w14:paraId="2530F090" w14:textId="77777777" w:rsidR="002117D9" w:rsidRDefault="002117D9" w:rsidP="00171744">
      <w:pPr>
        <w:spacing w:line="480" w:lineRule="auto"/>
        <w:ind w:firstLine="720"/>
        <w:jc w:val="both"/>
        <w:rPr>
          <w:rFonts w:ascii="Times New Roman" w:hAnsi="Times New Roman" w:cs="Times New Roman"/>
          <w:sz w:val="28"/>
          <w:szCs w:val="28"/>
        </w:rPr>
      </w:pPr>
    </w:p>
    <w:p w14:paraId="752C4ADE" w14:textId="77777777" w:rsidR="002117D9" w:rsidRDefault="002117D9" w:rsidP="00171744">
      <w:pPr>
        <w:spacing w:line="480" w:lineRule="auto"/>
        <w:ind w:firstLine="720"/>
        <w:jc w:val="both"/>
        <w:rPr>
          <w:rFonts w:ascii="Times New Roman" w:hAnsi="Times New Roman" w:cs="Times New Roman"/>
          <w:sz w:val="28"/>
          <w:szCs w:val="28"/>
        </w:rPr>
      </w:pPr>
    </w:p>
    <w:p w14:paraId="3E434FFC" w14:textId="77777777" w:rsidR="002117D9" w:rsidRDefault="002117D9" w:rsidP="00171744">
      <w:pPr>
        <w:spacing w:line="480" w:lineRule="auto"/>
        <w:ind w:firstLine="720"/>
        <w:jc w:val="both"/>
        <w:rPr>
          <w:rFonts w:ascii="Times New Roman" w:hAnsi="Times New Roman" w:cs="Times New Roman"/>
          <w:sz w:val="28"/>
          <w:szCs w:val="28"/>
        </w:rPr>
      </w:pPr>
    </w:p>
    <w:p w14:paraId="03ED63AB" w14:textId="77777777" w:rsidR="002117D9" w:rsidRDefault="002117D9" w:rsidP="00171744">
      <w:pPr>
        <w:spacing w:line="480" w:lineRule="auto"/>
        <w:ind w:firstLine="720"/>
        <w:jc w:val="both"/>
        <w:rPr>
          <w:rFonts w:ascii="Times New Roman" w:hAnsi="Times New Roman" w:cs="Times New Roman"/>
          <w:sz w:val="28"/>
          <w:szCs w:val="28"/>
        </w:rPr>
      </w:pPr>
    </w:p>
    <w:p w14:paraId="5CBC02AD" w14:textId="77777777" w:rsidR="002117D9" w:rsidRDefault="002117D9" w:rsidP="00171744">
      <w:pPr>
        <w:spacing w:line="480" w:lineRule="auto"/>
        <w:ind w:firstLine="720"/>
        <w:jc w:val="both"/>
        <w:rPr>
          <w:rFonts w:ascii="Times New Roman" w:hAnsi="Times New Roman" w:cs="Times New Roman"/>
          <w:sz w:val="28"/>
          <w:szCs w:val="28"/>
        </w:rPr>
      </w:pPr>
    </w:p>
    <w:p w14:paraId="55B2C65B" w14:textId="77777777" w:rsidR="002117D9" w:rsidRDefault="002117D9" w:rsidP="00171744">
      <w:pPr>
        <w:spacing w:line="480" w:lineRule="auto"/>
        <w:ind w:firstLine="720"/>
        <w:jc w:val="both"/>
        <w:rPr>
          <w:rFonts w:ascii="Times New Roman" w:hAnsi="Times New Roman" w:cs="Times New Roman"/>
          <w:sz w:val="28"/>
          <w:szCs w:val="28"/>
        </w:rPr>
      </w:pPr>
    </w:p>
    <w:p w14:paraId="657380AD" w14:textId="77777777" w:rsidR="002117D9" w:rsidRDefault="002117D9" w:rsidP="00171744">
      <w:pPr>
        <w:spacing w:line="480" w:lineRule="auto"/>
        <w:ind w:firstLine="720"/>
        <w:jc w:val="both"/>
        <w:rPr>
          <w:rFonts w:ascii="Times New Roman" w:hAnsi="Times New Roman" w:cs="Times New Roman"/>
          <w:sz w:val="28"/>
          <w:szCs w:val="28"/>
        </w:rPr>
      </w:pPr>
    </w:p>
    <w:p w14:paraId="2A8814CE" w14:textId="77777777" w:rsidR="002117D9" w:rsidRDefault="002117D9" w:rsidP="00171744">
      <w:pPr>
        <w:spacing w:line="480" w:lineRule="auto"/>
        <w:ind w:firstLine="720"/>
        <w:jc w:val="both"/>
        <w:rPr>
          <w:rFonts w:ascii="Times New Roman" w:hAnsi="Times New Roman" w:cs="Times New Roman"/>
          <w:sz w:val="28"/>
          <w:szCs w:val="28"/>
        </w:rPr>
      </w:pPr>
    </w:p>
    <w:p w14:paraId="3BAFD027" w14:textId="77777777" w:rsidR="002117D9" w:rsidRDefault="002117D9" w:rsidP="00171744">
      <w:pPr>
        <w:spacing w:line="480" w:lineRule="auto"/>
        <w:ind w:firstLine="720"/>
        <w:jc w:val="both"/>
        <w:rPr>
          <w:rFonts w:ascii="Times New Roman" w:hAnsi="Times New Roman" w:cs="Times New Roman"/>
          <w:sz w:val="28"/>
          <w:szCs w:val="28"/>
        </w:rPr>
      </w:pPr>
    </w:p>
    <w:p w14:paraId="124B27FA" w14:textId="77777777" w:rsidR="002117D9" w:rsidRDefault="002117D9" w:rsidP="00171744">
      <w:pPr>
        <w:spacing w:line="480" w:lineRule="auto"/>
        <w:ind w:firstLine="720"/>
        <w:jc w:val="both"/>
        <w:rPr>
          <w:rFonts w:ascii="Times New Roman" w:hAnsi="Times New Roman" w:cs="Times New Roman"/>
          <w:sz w:val="28"/>
          <w:szCs w:val="28"/>
        </w:rPr>
      </w:pPr>
    </w:p>
    <w:p w14:paraId="6256DF64" w14:textId="77777777" w:rsidR="002117D9" w:rsidRDefault="002117D9" w:rsidP="00171744">
      <w:pPr>
        <w:spacing w:line="480" w:lineRule="auto"/>
        <w:ind w:firstLine="720"/>
        <w:jc w:val="both"/>
        <w:rPr>
          <w:rFonts w:ascii="Times New Roman" w:hAnsi="Times New Roman" w:cs="Times New Roman"/>
          <w:sz w:val="28"/>
          <w:szCs w:val="28"/>
        </w:rPr>
      </w:pPr>
    </w:p>
    <w:p w14:paraId="19EF67AF" w14:textId="77777777" w:rsidR="002117D9" w:rsidRDefault="002117D9">
      <w:pPr>
        <w:spacing w:line="278" w:lineRule="auto"/>
        <w:rPr>
          <w:rFonts w:ascii="Times New Roman" w:hAnsi="Times New Roman" w:cs="Times New Roman"/>
          <w:sz w:val="28"/>
          <w:szCs w:val="28"/>
        </w:rPr>
        <w:sectPr w:rsidR="002117D9" w:rsidSect="002117D9">
          <w:footerReference w:type="default" r:id="rId12"/>
          <w:pgSz w:w="11906" w:h="16838"/>
          <w:pgMar w:top="1440" w:right="1440" w:bottom="1440" w:left="1440" w:header="708" w:footer="708" w:gutter="0"/>
          <w:pgNumType w:start="1"/>
          <w:cols w:space="708"/>
          <w:docGrid w:linePitch="360"/>
        </w:sectPr>
      </w:pPr>
      <w:r>
        <w:rPr>
          <w:rFonts w:ascii="Times New Roman" w:hAnsi="Times New Roman" w:cs="Times New Roman"/>
          <w:sz w:val="28"/>
          <w:szCs w:val="28"/>
        </w:rPr>
        <w:br w:type="page"/>
      </w:r>
    </w:p>
    <w:p w14:paraId="5CC5E3C3" w14:textId="77777777" w:rsidR="002117D9" w:rsidRDefault="002117D9">
      <w:pPr>
        <w:spacing w:line="278" w:lineRule="auto"/>
        <w:rPr>
          <w:rFonts w:ascii="Times New Roman" w:hAnsi="Times New Roman" w:cs="Times New Roman"/>
          <w:sz w:val="28"/>
          <w:szCs w:val="28"/>
        </w:rPr>
      </w:pPr>
    </w:p>
    <w:p w14:paraId="033D3DEF" w14:textId="0325D0BF" w:rsidR="00171744" w:rsidRPr="003F7E18" w:rsidRDefault="00171744" w:rsidP="00171744">
      <w:pPr>
        <w:spacing w:line="480" w:lineRule="auto"/>
        <w:ind w:firstLine="720"/>
        <w:jc w:val="both"/>
        <w:rPr>
          <w:rFonts w:ascii="Times New Roman" w:hAnsi="Times New Roman" w:cs="Times New Roman"/>
          <w:sz w:val="28"/>
          <w:szCs w:val="28"/>
        </w:rPr>
      </w:pPr>
      <w:r w:rsidRPr="003F7E18">
        <w:rPr>
          <w:rFonts w:ascii="Times New Roman" w:hAnsi="Times New Roman" w:cs="Times New Roman"/>
          <w:sz w:val="28"/>
          <w:szCs w:val="28"/>
        </w:rPr>
        <w:t>IN THE MATTER OF THE ELECTORAL REFORM ACT, 2022</w:t>
      </w:r>
    </w:p>
    <w:p w14:paraId="5F7DA4D5" w14:textId="7150706B" w:rsidR="00171744" w:rsidRDefault="00171744" w:rsidP="00171744">
      <w:pPr>
        <w:spacing w:line="480" w:lineRule="auto"/>
        <w:ind w:left="720"/>
        <w:jc w:val="both"/>
        <w:rPr>
          <w:rFonts w:ascii="Times New Roman" w:hAnsi="Times New Roman" w:cs="Times New Roman"/>
          <w:sz w:val="28"/>
          <w:szCs w:val="28"/>
        </w:rPr>
      </w:pPr>
      <w:r w:rsidRPr="003F7E18">
        <w:rPr>
          <w:rFonts w:ascii="Times New Roman" w:hAnsi="Times New Roman" w:cs="Times New Roman"/>
          <w:sz w:val="28"/>
          <w:szCs w:val="28"/>
        </w:rPr>
        <w:t>AND IN THE MATTER OF SECTIONS 47, 50 AND 51 OF THE ELECTORAL REFORM ACT</w:t>
      </w:r>
      <w:r w:rsidR="006975BC">
        <w:rPr>
          <w:rFonts w:ascii="Times New Roman" w:hAnsi="Times New Roman" w:cs="Times New Roman"/>
          <w:sz w:val="28"/>
          <w:szCs w:val="28"/>
        </w:rPr>
        <w:t>,</w:t>
      </w:r>
      <w:r w:rsidRPr="003F7E18">
        <w:rPr>
          <w:rFonts w:ascii="Times New Roman" w:hAnsi="Times New Roman" w:cs="Times New Roman"/>
          <w:sz w:val="28"/>
          <w:szCs w:val="28"/>
        </w:rPr>
        <w:t xml:space="preserve"> 2022</w:t>
      </w:r>
    </w:p>
    <w:p w14:paraId="2E53D8BA" w14:textId="1D5E43C5" w:rsidR="00AE44B9" w:rsidRPr="003F7E18" w:rsidRDefault="00AE44B9" w:rsidP="00171744">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AND IN THE MATTER OF IRELAND FIRST, A POLITICAL PARTY </w:t>
      </w:r>
    </w:p>
    <w:p w14:paraId="72296342" w14:textId="52D80025" w:rsidR="00171744" w:rsidRDefault="00171744" w:rsidP="00171744">
      <w:pPr>
        <w:spacing w:line="480" w:lineRule="auto"/>
        <w:ind w:left="720"/>
        <w:jc w:val="both"/>
        <w:rPr>
          <w:rFonts w:ascii="Times New Roman" w:hAnsi="Times New Roman" w:cs="Times New Roman"/>
          <w:sz w:val="28"/>
          <w:szCs w:val="28"/>
        </w:rPr>
      </w:pPr>
      <w:r w:rsidRPr="003F7E18">
        <w:rPr>
          <w:rFonts w:ascii="Times New Roman" w:hAnsi="Times New Roman" w:cs="Times New Roman"/>
          <w:sz w:val="28"/>
          <w:szCs w:val="28"/>
        </w:rPr>
        <w:t xml:space="preserve">AND IN THE MATTER OF AN APPEAL BY </w:t>
      </w:r>
      <w:r w:rsidR="00AE44B9">
        <w:rPr>
          <w:rFonts w:ascii="Times New Roman" w:hAnsi="Times New Roman" w:cs="Times New Roman"/>
          <w:sz w:val="28"/>
          <w:szCs w:val="28"/>
        </w:rPr>
        <w:t xml:space="preserve">MARGARET MAGUIRE </w:t>
      </w:r>
      <w:r w:rsidR="00A5521A">
        <w:rPr>
          <w:rFonts w:ascii="Times New Roman" w:hAnsi="Times New Roman" w:cs="Times New Roman"/>
          <w:sz w:val="28"/>
          <w:szCs w:val="28"/>
        </w:rPr>
        <w:t>UNDER</w:t>
      </w:r>
      <w:r w:rsidRPr="003F7E18">
        <w:rPr>
          <w:rFonts w:ascii="Times New Roman" w:hAnsi="Times New Roman" w:cs="Times New Roman"/>
          <w:sz w:val="28"/>
          <w:szCs w:val="28"/>
        </w:rPr>
        <w:t xml:space="preserve"> S.51 OF THE ELECTORAL REFORM ACT, 2022</w:t>
      </w:r>
    </w:p>
    <w:p w14:paraId="38D1D0B1" w14:textId="77777777" w:rsidR="00171744" w:rsidRDefault="00171744" w:rsidP="00171744">
      <w:pPr>
        <w:spacing w:line="480" w:lineRule="auto"/>
        <w:jc w:val="both"/>
        <w:rPr>
          <w:rFonts w:ascii="Times New Roman" w:hAnsi="Times New Roman" w:cs="Times New Roman"/>
          <w:sz w:val="28"/>
          <w:szCs w:val="28"/>
        </w:rPr>
      </w:pPr>
    </w:p>
    <w:p w14:paraId="643FD790" w14:textId="7459A9F6" w:rsidR="00171744" w:rsidRPr="00804A83" w:rsidRDefault="00171744" w:rsidP="00171744">
      <w:pPr>
        <w:spacing w:line="480" w:lineRule="auto"/>
        <w:jc w:val="both"/>
        <w:rPr>
          <w:rFonts w:ascii="Times New Roman" w:hAnsi="Times New Roman" w:cs="Times New Roman"/>
          <w:b/>
          <w:bCs/>
          <w:sz w:val="28"/>
          <w:szCs w:val="28"/>
        </w:rPr>
      </w:pPr>
      <w:r w:rsidRPr="00804A83">
        <w:rPr>
          <w:rFonts w:ascii="Times New Roman" w:hAnsi="Times New Roman" w:cs="Times New Roman"/>
          <w:b/>
          <w:bCs/>
          <w:sz w:val="28"/>
          <w:szCs w:val="28"/>
        </w:rPr>
        <w:t xml:space="preserve">DECISION OF THE </w:t>
      </w:r>
      <w:r w:rsidR="00B81FDE">
        <w:rPr>
          <w:rFonts w:ascii="Times New Roman" w:hAnsi="Times New Roman" w:cs="Times New Roman"/>
          <w:b/>
          <w:bCs/>
          <w:sz w:val="28"/>
          <w:szCs w:val="28"/>
        </w:rPr>
        <w:t>BOARD</w:t>
      </w:r>
      <w:r w:rsidRPr="00804A83">
        <w:rPr>
          <w:rFonts w:ascii="Times New Roman" w:hAnsi="Times New Roman" w:cs="Times New Roman"/>
          <w:b/>
          <w:bCs/>
          <w:sz w:val="28"/>
          <w:szCs w:val="28"/>
        </w:rPr>
        <w:t xml:space="preserve"> OF AN </w:t>
      </w:r>
      <w:r w:rsidRPr="00E13E00">
        <w:rPr>
          <w:rFonts w:ascii="Times New Roman" w:hAnsi="Times New Roman" w:cs="Times New Roman"/>
          <w:b/>
          <w:bCs/>
          <w:sz w:val="28"/>
          <w:szCs w:val="28"/>
        </w:rPr>
        <w:t>COIMISI</w:t>
      </w:r>
      <w:r w:rsidR="00E9337B">
        <w:rPr>
          <w:rFonts w:ascii="Times New Roman" w:hAnsi="Times New Roman" w:cs="Times New Roman"/>
          <w:b/>
          <w:bCs/>
          <w:sz w:val="28"/>
          <w:szCs w:val="28"/>
        </w:rPr>
        <w:t>Ú</w:t>
      </w:r>
      <w:r w:rsidRPr="00E13E00">
        <w:rPr>
          <w:rFonts w:ascii="Times New Roman" w:hAnsi="Times New Roman" w:cs="Times New Roman"/>
          <w:b/>
          <w:bCs/>
          <w:sz w:val="28"/>
          <w:szCs w:val="28"/>
        </w:rPr>
        <w:t>N</w:t>
      </w:r>
      <w:r w:rsidRPr="00804A83">
        <w:rPr>
          <w:rFonts w:ascii="Times New Roman" w:hAnsi="Times New Roman" w:cs="Times New Roman"/>
          <w:b/>
          <w:bCs/>
          <w:sz w:val="28"/>
          <w:szCs w:val="28"/>
        </w:rPr>
        <w:t xml:space="preserve"> TOGH</w:t>
      </w:r>
      <w:r w:rsidR="00E9337B">
        <w:rPr>
          <w:rFonts w:ascii="Times New Roman" w:hAnsi="Times New Roman" w:cs="Times New Roman"/>
          <w:b/>
          <w:bCs/>
          <w:sz w:val="28"/>
          <w:szCs w:val="28"/>
        </w:rPr>
        <w:t>CH</w:t>
      </w:r>
      <w:r w:rsidRPr="00804A83">
        <w:rPr>
          <w:rFonts w:ascii="Times New Roman" w:hAnsi="Times New Roman" w:cs="Times New Roman"/>
          <w:b/>
          <w:bCs/>
          <w:sz w:val="28"/>
          <w:szCs w:val="28"/>
        </w:rPr>
        <w:t xml:space="preserve">ÁIN </w:t>
      </w:r>
    </w:p>
    <w:p w14:paraId="430EAF9E" w14:textId="2EB8A06D" w:rsidR="00EA2A50" w:rsidRPr="00EA2A50" w:rsidRDefault="00EA2A50" w:rsidP="00EA2A50">
      <w:pPr>
        <w:pStyle w:val="ListParagraph"/>
        <w:numPr>
          <w:ilvl w:val="0"/>
          <w:numId w:val="1"/>
        </w:numPr>
        <w:spacing w:line="480" w:lineRule="auto"/>
        <w:rPr>
          <w:rFonts w:ascii="Times New Roman" w:hAnsi="Times New Roman" w:cs="Times New Roman"/>
          <w:sz w:val="28"/>
          <w:szCs w:val="28"/>
          <w:lang w:val="en-US"/>
        </w:rPr>
      </w:pPr>
      <w:r w:rsidRPr="00EA2A50">
        <w:rPr>
          <w:rFonts w:ascii="Times New Roman" w:hAnsi="Times New Roman" w:cs="Times New Roman"/>
          <w:sz w:val="28"/>
          <w:szCs w:val="28"/>
          <w:lang w:val="en-US"/>
        </w:rPr>
        <w:t>Ireland First (“the Party”) is a political party registered under section</w:t>
      </w:r>
      <w:r w:rsidR="00AE44B9">
        <w:rPr>
          <w:rFonts w:ascii="Times New Roman" w:hAnsi="Times New Roman" w:cs="Times New Roman"/>
          <w:sz w:val="28"/>
          <w:szCs w:val="28"/>
          <w:lang w:val="en-US"/>
        </w:rPr>
        <w:t xml:space="preserve"> 41</w:t>
      </w:r>
      <w:r w:rsidRPr="00EA2A50">
        <w:rPr>
          <w:rFonts w:ascii="Times New Roman" w:hAnsi="Times New Roman" w:cs="Times New Roman"/>
          <w:sz w:val="28"/>
          <w:szCs w:val="28"/>
          <w:lang w:val="en-US"/>
        </w:rPr>
        <w:t xml:space="preserve"> of the Electoral Reform Act</w:t>
      </w:r>
      <w:r w:rsidR="006975BC">
        <w:rPr>
          <w:rFonts w:ascii="Times New Roman" w:hAnsi="Times New Roman" w:cs="Times New Roman"/>
          <w:sz w:val="28"/>
          <w:szCs w:val="28"/>
          <w:lang w:val="en-US"/>
        </w:rPr>
        <w:t>,</w:t>
      </w:r>
      <w:r w:rsidRPr="00EA2A50">
        <w:rPr>
          <w:rFonts w:ascii="Times New Roman" w:hAnsi="Times New Roman" w:cs="Times New Roman"/>
          <w:sz w:val="28"/>
          <w:szCs w:val="28"/>
          <w:lang w:val="en-US"/>
        </w:rPr>
        <w:t xml:space="preserve"> 2022 (“the Act”).</w:t>
      </w:r>
    </w:p>
    <w:p w14:paraId="6F580810" w14:textId="77777777" w:rsidR="00EA2A50" w:rsidRPr="00EA2A50" w:rsidRDefault="00EA2A50" w:rsidP="00EA2A50">
      <w:pPr>
        <w:pStyle w:val="ListParagraph"/>
        <w:ind w:left="785"/>
        <w:rPr>
          <w:lang w:val="en-US"/>
        </w:rPr>
      </w:pPr>
    </w:p>
    <w:p w14:paraId="3FAF8313" w14:textId="5AC19AB5" w:rsidR="00171744" w:rsidRDefault="00171744" w:rsidP="00171744">
      <w:pPr>
        <w:pStyle w:val="ListParagraph"/>
        <w:numPr>
          <w:ilvl w:val="0"/>
          <w:numId w:val="1"/>
        </w:numPr>
        <w:spacing w:line="480" w:lineRule="auto"/>
        <w:jc w:val="both"/>
        <w:rPr>
          <w:rFonts w:ascii="Times New Roman" w:hAnsi="Times New Roman" w:cs="Times New Roman"/>
          <w:sz w:val="28"/>
          <w:szCs w:val="28"/>
        </w:rPr>
      </w:pPr>
      <w:r w:rsidRPr="00023795">
        <w:rPr>
          <w:rFonts w:ascii="Times New Roman" w:hAnsi="Times New Roman" w:cs="Times New Roman"/>
          <w:sz w:val="28"/>
          <w:szCs w:val="28"/>
        </w:rPr>
        <w:t xml:space="preserve">Section 47 of the </w:t>
      </w:r>
      <w:r>
        <w:rPr>
          <w:rFonts w:ascii="Times New Roman" w:hAnsi="Times New Roman" w:cs="Times New Roman"/>
          <w:sz w:val="28"/>
          <w:szCs w:val="28"/>
        </w:rPr>
        <w:t>A</w:t>
      </w:r>
      <w:r w:rsidRPr="00023795">
        <w:rPr>
          <w:rFonts w:ascii="Times New Roman" w:hAnsi="Times New Roman" w:cs="Times New Roman"/>
          <w:sz w:val="28"/>
          <w:szCs w:val="28"/>
        </w:rPr>
        <w:t xml:space="preserve">ct </w:t>
      </w:r>
      <w:r w:rsidR="00AE44B9">
        <w:rPr>
          <w:rFonts w:ascii="Times New Roman" w:hAnsi="Times New Roman" w:cs="Times New Roman"/>
          <w:sz w:val="28"/>
          <w:szCs w:val="28"/>
        </w:rPr>
        <w:t xml:space="preserve">requires </w:t>
      </w:r>
      <w:r w:rsidRPr="00023795">
        <w:rPr>
          <w:rFonts w:ascii="Times New Roman" w:hAnsi="Times New Roman" w:cs="Times New Roman"/>
          <w:sz w:val="28"/>
          <w:szCs w:val="28"/>
        </w:rPr>
        <w:t xml:space="preserve">certain details of a political party to be entered in the Register of Political Parties (“the Register”).  The registration details may be changed on application to the Registrar of Political Parties in accordance with s.50 of the Act. </w:t>
      </w:r>
    </w:p>
    <w:p w14:paraId="4B444BC4" w14:textId="77777777" w:rsidR="00171744" w:rsidRDefault="00171744" w:rsidP="00171744">
      <w:pPr>
        <w:pStyle w:val="ListParagraph"/>
        <w:spacing w:line="480" w:lineRule="auto"/>
        <w:jc w:val="both"/>
        <w:rPr>
          <w:rFonts w:ascii="Times New Roman" w:hAnsi="Times New Roman" w:cs="Times New Roman"/>
          <w:sz w:val="28"/>
          <w:szCs w:val="28"/>
        </w:rPr>
      </w:pPr>
    </w:p>
    <w:p w14:paraId="3BEDE63A" w14:textId="7A35FCDB" w:rsidR="006975BC" w:rsidRDefault="00171744" w:rsidP="006975BC">
      <w:pPr>
        <w:pStyle w:val="ListParagraph"/>
        <w:numPr>
          <w:ilvl w:val="0"/>
          <w:numId w:val="1"/>
        </w:numPr>
        <w:spacing w:line="480" w:lineRule="auto"/>
        <w:jc w:val="both"/>
        <w:rPr>
          <w:rFonts w:ascii="Times New Roman" w:hAnsi="Times New Roman" w:cs="Times New Roman"/>
          <w:sz w:val="28"/>
          <w:szCs w:val="28"/>
        </w:rPr>
      </w:pPr>
      <w:r w:rsidRPr="00804A83">
        <w:rPr>
          <w:rFonts w:ascii="Times New Roman" w:hAnsi="Times New Roman" w:cs="Times New Roman"/>
          <w:sz w:val="28"/>
          <w:szCs w:val="28"/>
        </w:rPr>
        <w:t>By reason of s.51</w:t>
      </w:r>
      <w:r>
        <w:rPr>
          <w:rFonts w:ascii="Times New Roman" w:hAnsi="Times New Roman" w:cs="Times New Roman"/>
          <w:sz w:val="28"/>
          <w:szCs w:val="28"/>
        </w:rPr>
        <w:t>,</w:t>
      </w:r>
      <w:r w:rsidRPr="00804A83">
        <w:rPr>
          <w:rFonts w:ascii="Times New Roman" w:hAnsi="Times New Roman" w:cs="Times New Roman"/>
          <w:sz w:val="28"/>
          <w:szCs w:val="28"/>
        </w:rPr>
        <w:t xml:space="preserve"> an appeal lies to the </w:t>
      </w:r>
      <w:r w:rsidR="00B81FDE">
        <w:rPr>
          <w:rFonts w:ascii="Times New Roman" w:hAnsi="Times New Roman" w:cs="Times New Roman"/>
          <w:sz w:val="28"/>
          <w:szCs w:val="28"/>
        </w:rPr>
        <w:t>Board</w:t>
      </w:r>
      <w:r w:rsidRPr="00804A83">
        <w:rPr>
          <w:rFonts w:ascii="Times New Roman" w:hAnsi="Times New Roman" w:cs="Times New Roman"/>
          <w:sz w:val="28"/>
          <w:szCs w:val="28"/>
        </w:rPr>
        <w:t xml:space="preserve"> from </w:t>
      </w:r>
      <w:r>
        <w:rPr>
          <w:rFonts w:ascii="Times New Roman" w:hAnsi="Times New Roman" w:cs="Times New Roman"/>
          <w:sz w:val="28"/>
          <w:szCs w:val="28"/>
        </w:rPr>
        <w:t xml:space="preserve">a </w:t>
      </w:r>
      <w:r w:rsidRPr="00804A83">
        <w:rPr>
          <w:rFonts w:ascii="Times New Roman" w:hAnsi="Times New Roman" w:cs="Times New Roman"/>
          <w:sz w:val="28"/>
          <w:szCs w:val="28"/>
        </w:rPr>
        <w:t>decision of the Registrar</w:t>
      </w:r>
      <w:r>
        <w:rPr>
          <w:rFonts w:ascii="Times New Roman" w:hAnsi="Times New Roman" w:cs="Times New Roman"/>
          <w:sz w:val="28"/>
          <w:szCs w:val="28"/>
        </w:rPr>
        <w:t>, and t</w:t>
      </w:r>
      <w:r w:rsidRPr="00804A83">
        <w:rPr>
          <w:rFonts w:ascii="Times New Roman" w:hAnsi="Times New Roman" w:cs="Times New Roman"/>
          <w:sz w:val="28"/>
          <w:szCs w:val="28"/>
        </w:rPr>
        <w:t>he decision of the Registrar does not have effect pending the determination of such appeal</w:t>
      </w:r>
      <w:r>
        <w:rPr>
          <w:rFonts w:ascii="Times New Roman" w:hAnsi="Times New Roman" w:cs="Times New Roman"/>
          <w:sz w:val="28"/>
          <w:szCs w:val="28"/>
        </w:rPr>
        <w:t>.</w:t>
      </w:r>
      <w:r w:rsidR="006975BC" w:rsidRPr="006975BC">
        <w:rPr>
          <w:rFonts w:ascii="Times New Roman" w:hAnsi="Times New Roman" w:cs="Times New Roman"/>
          <w:sz w:val="28"/>
          <w:szCs w:val="28"/>
        </w:rPr>
        <w:t xml:space="preserve"> </w:t>
      </w:r>
      <w:r w:rsidR="006975BC">
        <w:rPr>
          <w:rFonts w:ascii="Times New Roman" w:hAnsi="Times New Roman" w:cs="Times New Roman"/>
          <w:sz w:val="28"/>
          <w:szCs w:val="28"/>
        </w:rPr>
        <w:t>By section 5</w:t>
      </w:r>
      <w:r w:rsidR="00EB21F4">
        <w:rPr>
          <w:rFonts w:ascii="Times New Roman" w:hAnsi="Times New Roman" w:cs="Times New Roman"/>
          <w:sz w:val="28"/>
          <w:szCs w:val="28"/>
        </w:rPr>
        <w:t>1</w:t>
      </w:r>
      <w:r w:rsidR="006975BC">
        <w:rPr>
          <w:rFonts w:ascii="Times New Roman" w:hAnsi="Times New Roman" w:cs="Times New Roman"/>
          <w:sz w:val="28"/>
          <w:szCs w:val="28"/>
        </w:rPr>
        <w:t xml:space="preserve">(4)(d) of the Act of 2022 the decision of the Board is final and binding. </w:t>
      </w:r>
    </w:p>
    <w:p w14:paraId="161B6C35" w14:textId="30A60F05" w:rsidR="00171744" w:rsidRDefault="00171744" w:rsidP="006975BC">
      <w:pPr>
        <w:pStyle w:val="ListParagraph"/>
        <w:spacing w:line="480" w:lineRule="auto"/>
        <w:ind w:left="785"/>
        <w:jc w:val="both"/>
        <w:rPr>
          <w:rFonts w:ascii="Times New Roman" w:hAnsi="Times New Roman" w:cs="Times New Roman"/>
          <w:sz w:val="28"/>
          <w:szCs w:val="28"/>
        </w:rPr>
      </w:pPr>
    </w:p>
    <w:p w14:paraId="3512E41A" w14:textId="77777777" w:rsidR="00171744" w:rsidRPr="00D640DD" w:rsidRDefault="00171744" w:rsidP="00171744">
      <w:pPr>
        <w:pStyle w:val="ListParagraph"/>
        <w:rPr>
          <w:rFonts w:ascii="Times New Roman" w:hAnsi="Times New Roman" w:cs="Times New Roman"/>
          <w:sz w:val="28"/>
          <w:szCs w:val="28"/>
        </w:rPr>
      </w:pPr>
    </w:p>
    <w:p w14:paraId="069E104F" w14:textId="77777777" w:rsidR="00E9337B" w:rsidRPr="00E9337B" w:rsidRDefault="00171744" w:rsidP="00150483">
      <w:pPr>
        <w:pStyle w:val="ListParagraph"/>
        <w:numPr>
          <w:ilvl w:val="0"/>
          <w:numId w:val="1"/>
        </w:numPr>
        <w:spacing w:line="480" w:lineRule="auto"/>
        <w:jc w:val="both"/>
        <w:rPr>
          <w:lang w:val="en-US"/>
        </w:rPr>
      </w:pPr>
      <w:r w:rsidRPr="00E9337B">
        <w:rPr>
          <w:rFonts w:ascii="Times New Roman" w:hAnsi="Times New Roman" w:cs="Times New Roman"/>
          <w:sz w:val="28"/>
          <w:szCs w:val="28"/>
        </w:rPr>
        <w:t xml:space="preserve">This decision of the </w:t>
      </w:r>
      <w:r w:rsidR="00B81FDE" w:rsidRPr="00E9337B">
        <w:rPr>
          <w:rFonts w:ascii="Times New Roman" w:hAnsi="Times New Roman" w:cs="Times New Roman"/>
          <w:sz w:val="28"/>
          <w:szCs w:val="28"/>
        </w:rPr>
        <w:t>Board</w:t>
      </w:r>
      <w:r w:rsidRPr="00E9337B">
        <w:rPr>
          <w:rFonts w:ascii="Times New Roman" w:hAnsi="Times New Roman" w:cs="Times New Roman"/>
          <w:sz w:val="28"/>
          <w:szCs w:val="28"/>
        </w:rPr>
        <w:t xml:space="preserve"> is given in an appeal from the decision of the Registrar of </w:t>
      </w:r>
      <w:r w:rsidR="00150483" w:rsidRPr="00E9337B">
        <w:rPr>
          <w:rFonts w:ascii="Times New Roman" w:hAnsi="Times New Roman" w:cs="Times New Roman"/>
          <w:sz w:val="28"/>
          <w:szCs w:val="28"/>
        </w:rPr>
        <w:t xml:space="preserve">18 November </w:t>
      </w:r>
      <w:r w:rsidRPr="00E9337B">
        <w:rPr>
          <w:rFonts w:ascii="Times New Roman" w:hAnsi="Times New Roman" w:cs="Times New Roman"/>
          <w:sz w:val="28"/>
          <w:szCs w:val="28"/>
        </w:rPr>
        <w:t>2025 to allow certain amendments of the particulars of the Part</w:t>
      </w:r>
      <w:r w:rsidR="00A5521A" w:rsidRPr="00E9337B">
        <w:rPr>
          <w:rFonts w:ascii="Times New Roman" w:hAnsi="Times New Roman" w:cs="Times New Roman"/>
          <w:sz w:val="28"/>
          <w:szCs w:val="28"/>
        </w:rPr>
        <w:t>y</w:t>
      </w:r>
      <w:r w:rsidRPr="00E9337B">
        <w:rPr>
          <w:rFonts w:ascii="Times New Roman" w:hAnsi="Times New Roman" w:cs="Times New Roman"/>
          <w:sz w:val="28"/>
          <w:szCs w:val="28"/>
        </w:rPr>
        <w:t xml:space="preserve">. </w:t>
      </w:r>
      <w:r w:rsidR="00150483" w:rsidRPr="00E9337B">
        <w:rPr>
          <w:rFonts w:ascii="Times New Roman" w:hAnsi="Times New Roman" w:cs="Times New Roman"/>
          <w:sz w:val="28"/>
          <w:szCs w:val="28"/>
          <w:lang w:val="en-US"/>
        </w:rPr>
        <w:t>The Registrar rejected the application to amend the logo of the Party</w:t>
      </w:r>
      <w:r w:rsidR="00E9337B">
        <w:rPr>
          <w:rFonts w:ascii="Times New Roman" w:hAnsi="Times New Roman" w:cs="Times New Roman"/>
          <w:sz w:val="28"/>
          <w:szCs w:val="28"/>
          <w:lang w:val="en-US"/>
        </w:rPr>
        <w:t>, but that decision has not been appealed</w:t>
      </w:r>
      <w:r w:rsidR="00150483" w:rsidRPr="00E9337B">
        <w:rPr>
          <w:rFonts w:ascii="Times New Roman" w:hAnsi="Times New Roman" w:cs="Times New Roman"/>
          <w:sz w:val="28"/>
          <w:szCs w:val="28"/>
          <w:lang w:val="en-US"/>
        </w:rPr>
        <w:t xml:space="preserve">. </w:t>
      </w:r>
      <w:r w:rsidR="00E9337B">
        <w:rPr>
          <w:rFonts w:ascii="Times New Roman" w:hAnsi="Times New Roman" w:cs="Times New Roman"/>
          <w:sz w:val="28"/>
          <w:szCs w:val="28"/>
          <w:lang w:val="en-US"/>
        </w:rPr>
        <w:t xml:space="preserve"> Accordingly, t</w:t>
      </w:r>
      <w:r w:rsidR="00150483" w:rsidRPr="00E9337B">
        <w:rPr>
          <w:rFonts w:ascii="Times New Roman" w:hAnsi="Times New Roman" w:cs="Times New Roman"/>
          <w:sz w:val="28"/>
          <w:szCs w:val="28"/>
          <w:lang w:val="en-US"/>
        </w:rPr>
        <w:t xml:space="preserve">his appeal to the </w:t>
      </w:r>
      <w:r w:rsidR="00B81FDE" w:rsidRPr="00E9337B">
        <w:rPr>
          <w:rFonts w:ascii="Times New Roman" w:hAnsi="Times New Roman" w:cs="Times New Roman"/>
          <w:sz w:val="28"/>
          <w:szCs w:val="28"/>
          <w:lang w:val="en-US"/>
        </w:rPr>
        <w:t>Board</w:t>
      </w:r>
      <w:r w:rsidR="00150483" w:rsidRPr="00E9337B">
        <w:rPr>
          <w:rFonts w:ascii="Times New Roman" w:hAnsi="Times New Roman" w:cs="Times New Roman"/>
          <w:sz w:val="28"/>
          <w:szCs w:val="28"/>
          <w:lang w:val="en-US"/>
        </w:rPr>
        <w:t xml:space="preserve"> by Ms. Maguire and Mr. Blighe from that decision of the Registrar concerns one question only, whether the particulars of the authorised officials of the </w:t>
      </w:r>
      <w:r w:rsidR="006975BC" w:rsidRPr="00E9337B">
        <w:rPr>
          <w:rFonts w:ascii="Times New Roman" w:hAnsi="Times New Roman" w:cs="Times New Roman"/>
          <w:sz w:val="28"/>
          <w:szCs w:val="28"/>
          <w:lang w:val="en-US"/>
        </w:rPr>
        <w:t>P</w:t>
      </w:r>
      <w:r w:rsidR="00150483" w:rsidRPr="00E9337B">
        <w:rPr>
          <w:rFonts w:ascii="Times New Roman" w:hAnsi="Times New Roman" w:cs="Times New Roman"/>
          <w:sz w:val="28"/>
          <w:szCs w:val="28"/>
          <w:lang w:val="en-US"/>
        </w:rPr>
        <w:t>arty are to be changed.</w:t>
      </w:r>
      <w:r w:rsidR="00AE44B9" w:rsidRPr="00E9337B">
        <w:rPr>
          <w:rFonts w:ascii="Times New Roman" w:hAnsi="Times New Roman" w:cs="Times New Roman"/>
          <w:sz w:val="28"/>
          <w:szCs w:val="28"/>
          <w:lang w:val="en-US"/>
        </w:rPr>
        <w:t xml:space="preserve">  </w:t>
      </w:r>
    </w:p>
    <w:p w14:paraId="40C2E682" w14:textId="1490807E" w:rsidR="00150483" w:rsidRPr="00E9337B" w:rsidRDefault="00AE44B9" w:rsidP="00E9337B">
      <w:pPr>
        <w:pStyle w:val="ListParagraph"/>
        <w:spacing w:line="480" w:lineRule="auto"/>
        <w:ind w:left="785"/>
        <w:jc w:val="both"/>
        <w:rPr>
          <w:lang w:val="en-US"/>
        </w:rPr>
      </w:pPr>
      <w:r w:rsidRPr="00E9337B">
        <w:rPr>
          <w:rFonts w:ascii="Times New Roman" w:hAnsi="Times New Roman" w:cs="Times New Roman"/>
          <w:sz w:val="28"/>
          <w:szCs w:val="28"/>
          <w:lang w:val="en-US"/>
        </w:rPr>
        <w:t xml:space="preserve"> </w:t>
      </w:r>
    </w:p>
    <w:p w14:paraId="5421E667" w14:textId="3822A4CB" w:rsidR="00150483" w:rsidRPr="00150483" w:rsidRDefault="00150483" w:rsidP="006975BC">
      <w:pPr>
        <w:pStyle w:val="ListParagraph"/>
        <w:numPr>
          <w:ilvl w:val="0"/>
          <w:numId w:val="1"/>
        </w:numPr>
        <w:spacing w:line="480" w:lineRule="auto"/>
        <w:jc w:val="both"/>
        <w:rPr>
          <w:rFonts w:ascii="Times New Roman" w:hAnsi="Times New Roman" w:cs="Times New Roman"/>
          <w:sz w:val="28"/>
          <w:szCs w:val="28"/>
          <w:lang w:val="en-US"/>
        </w:rPr>
      </w:pPr>
      <w:r w:rsidRPr="00150483">
        <w:rPr>
          <w:rFonts w:ascii="Times New Roman" w:hAnsi="Times New Roman" w:cs="Times New Roman"/>
          <w:sz w:val="28"/>
          <w:szCs w:val="28"/>
          <w:lang w:val="en-US"/>
        </w:rPr>
        <w:t xml:space="preserve">The </w:t>
      </w:r>
      <w:r w:rsidR="00A5521A" w:rsidRPr="00150483">
        <w:rPr>
          <w:rFonts w:ascii="Times New Roman" w:hAnsi="Times New Roman" w:cs="Times New Roman"/>
          <w:sz w:val="28"/>
          <w:szCs w:val="28"/>
          <w:lang w:val="en-US"/>
        </w:rPr>
        <w:t>resolutions</w:t>
      </w:r>
      <w:r w:rsidRPr="00150483">
        <w:rPr>
          <w:rFonts w:ascii="Times New Roman" w:hAnsi="Times New Roman" w:cs="Times New Roman"/>
          <w:sz w:val="28"/>
          <w:szCs w:val="28"/>
          <w:lang w:val="en-US"/>
        </w:rPr>
        <w:t xml:space="preserve"> purporting to replace some of the officers of the Party were made at a meeting of the Party held on Zoom on 16</w:t>
      </w:r>
      <w:r w:rsidR="006975BC">
        <w:rPr>
          <w:rFonts w:ascii="Times New Roman" w:hAnsi="Times New Roman" w:cs="Times New Roman"/>
          <w:sz w:val="28"/>
          <w:szCs w:val="28"/>
          <w:lang w:val="en-US"/>
        </w:rPr>
        <w:t xml:space="preserve"> </w:t>
      </w:r>
      <w:r w:rsidRPr="00150483">
        <w:rPr>
          <w:rFonts w:ascii="Times New Roman" w:hAnsi="Times New Roman" w:cs="Times New Roman"/>
          <w:sz w:val="28"/>
          <w:szCs w:val="28"/>
          <w:lang w:val="en-US"/>
        </w:rPr>
        <w:t xml:space="preserve">February 2025. </w:t>
      </w:r>
    </w:p>
    <w:p w14:paraId="157E7B65" w14:textId="77777777" w:rsidR="00150483" w:rsidRPr="00150483" w:rsidRDefault="00150483" w:rsidP="00150483">
      <w:pPr>
        <w:pStyle w:val="ListParagraph"/>
        <w:rPr>
          <w:lang w:val="en-US"/>
        </w:rPr>
      </w:pPr>
    </w:p>
    <w:p w14:paraId="672870DB" w14:textId="77777777" w:rsidR="00150483" w:rsidRPr="00150483" w:rsidRDefault="00150483" w:rsidP="00150483">
      <w:pPr>
        <w:pStyle w:val="ListParagraph"/>
        <w:ind w:left="785"/>
        <w:rPr>
          <w:lang w:val="en-US"/>
        </w:rPr>
      </w:pPr>
    </w:p>
    <w:p w14:paraId="30C591C9" w14:textId="5BD19DEA" w:rsidR="00171744" w:rsidRDefault="00171744" w:rsidP="00171744">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appeal in writing stating the grounds of appeal was made by </w:t>
      </w:r>
      <w:r w:rsidR="00AE44B9">
        <w:rPr>
          <w:rFonts w:ascii="Times New Roman" w:hAnsi="Times New Roman" w:cs="Times New Roman"/>
          <w:sz w:val="28"/>
          <w:szCs w:val="28"/>
        </w:rPr>
        <w:t xml:space="preserve">Ms Maguire </w:t>
      </w:r>
      <w:r>
        <w:rPr>
          <w:rFonts w:ascii="Times New Roman" w:hAnsi="Times New Roman" w:cs="Times New Roman"/>
          <w:sz w:val="28"/>
          <w:szCs w:val="28"/>
        </w:rPr>
        <w:t xml:space="preserve">in a letter dated </w:t>
      </w:r>
      <w:r w:rsidR="00FE492E">
        <w:rPr>
          <w:rFonts w:ascii="Times New Roman" w:hAnsi="Times New Roman" w:cs="Times New Roman"/>
          <w:sz w:val="28"/>
          <w:szCs w:val="28"/>
        </w:rPr>
        <w:t xml:space="preserve">6 </w:t>
      </w:r>
      <w:r w:rsidR="006975BC">
        <w:rPr>
          <w:rFonts w:ascii="Times New Roman" w:hAnsi="Times New Roman" w:cs="Times New Roman"/>
          <w:sz w:val="28"/>
          <w:szCs w:val="28"/>
        </w:rPr>
        <w:t xml:space="preserve">May </w:t>
      </w:r>
      <w:r w:rsidR="00FE492E">
        <w:rPr>
          <w:rFonts w:ascii="Times New Roman" w:hAnsi="Times New Roman" w:cs="Times New Roman"/>
          <w:sz w:val="28"/>
          <w:szCs w:val="28"/>
        </w:rPr>
        <w:t xml:space="preserve">2025 </w:t>
      </w:r>
      <w:r>
        <w:rPr>
          <w:rFonts w:ascii="Times New Roman" w:hAnsi="Times New Roman" w:cs="Times New Roman"/>
          <w:sz w:val="28"/>
          <w:szCs w:val="28"/>
        </w:rPr>
        <w:t xml:space="preserve">addressed to the Chairperson and met the statutory conditions.   The receipt of the appeal was duly notified to the Registrar and a notice published in </w:t>
      </w:r>
      <w:r w:rsidRPr="00347779">
        <w:rPr>
          <w:rFonts w:ascii="Times New Roman" w:hAnsi="Times New Roman" w:cs="Times New Roman"/>
          <w:i/>
          <w:iCs/>
          <w:sz w:val="28"/>
          <w:szCs w:val="28"/>
        </w:rPr>
        <w:t xml:space="preserve">Iris </w:t>
      </w:r>
      <w:r w:rsidRPr="00FE492E">
        <w:rPr>
          <w:rFonts w:ascii="Times New Roman" w:hAnsi="Times New Roman" w:cs="Times New Roman"/>
          <w:i/>
          <w:iCs/>
          <w:sz w:val="28"/>
          <w:szCs w:val="28"/>
        </w:rPr>
        <w:t xml:space="preserve">Oifigiúil </w:t>
      </w:r>
      <w:r>
        <w:rPr>
          <w:rFonts w:ascii="Times New Roman" w:hAnsi="Times New Roman" w:cs="Times New Roman"/>
          <w:sz w:val="28"/>
          <w:szCs w:val="28"/>
        </w:rPr>
        <w:t xml:space="preserve">in accordance with s.50(3)(f).  </w:t>
      </w:r>
      <w:r w:rsidR="00150483">
        <w:rPr>
          <w:rFonts w:ascii="Times New Roman" w:hAnsi="Times New Roman" w:cs="Times New Roman"/>
          <w:sz w:val="28"/>
          <w:szCs w:val="28"/>
        </w:rPr>
        <w:t xml:space="preserve"> </w:t>
      </w:r>
    </w:p>
    <w:p w14:paraId="2676ABC8" w14:textId="77777777" w:rsidR="00171744" w:rsidRPr="00347779" w:rsidRDefault="00171744" w:rsidP="00171744">
      <w:pPr>
        <w:pStyle w:val="ListParagraph"/>
        <w:rPr>
          <w:rFonts w:ascii="Times New Roman" w:hAnsi="Times New Roman" w:cs="Times New Roman"/>
          <w:sz w:val="28"/>
          <w:szCs w:val="28"/>
        </w:rPr>
      </w:pPr>
    </w:p>
    <w:p w14:paraId="31A8D061" w14:textId="66619FA7" w:rsidR="00171744" w:rsidRDefault="00171744" w:rsidP="00171744">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compliance with its statutory obligations, </w:t>
      </w:r>
      <w:r w:rsidR="00FE492E">
        <w:rPr>
          <w:rFonts w:ascii="Times New Roman" w:hAnsi="Times New Roman" w:cs="Times New Roman"/>
          <w:sz w:val="28"/>
          <w:szCs w:val="28"/>
        </w:rPr>
        <w:t>t</w:t>
      </w:r>
      <w:r>
        <w:rPr>
          <w:rFonts w:ascii="Times New Roman" w:hAnsi="Times New Roman" w:cs="Times New Roman"/>
          <w:sz w:val="28"/>
          <w:szCs w:val="28"/>
        </w:rPr>
        <w:t xml:space="preserve">he </w:t>
      </w:r>
      <w:r w:rsidR="00B81FDE">
        <w:rPr>
          <w:rFonts w:ascii="Times New Roman" w:hAnsi="Times New Roman" w:cs="Times New Roman"/>
          <w:sz w:val="28"/>
          <w:szCs w:val="28"/>
        </w:rPr>
        <w:t>Board</w:t>
      </w:r>
      <w:r>
        <w:rPr>
          <w:rFonts w:ascii="Times New Roman" w:hAnsi="Times New Roman" w:cs="Times New Roman"/>
          <w:sz w:val="28"/>
          <w:szCs w:val="28"/>
        </w:rPr>
        <w:t xml:space="preserve"> has had regard to the grounds of appeal, the documentation furnished, and the information available to the Registrar.  The appeal and associated documentation were furnished to </w:t>
      </w:r>
      <w:r w:rsidR="006975BC">
        <w:rPr>
          <w:rFonts w:ascii="Times New Roman" w:hAnsi="Times New Roman" w:cs="Times New Roman"/>
          <w:sz w:val="28"/>
          <w:szCs w:val="28"/>
        </w:rPr>
        <w:t xml:space="preserve">Ms. Herraty who had lodged the application to amend the </w:t>
      </w:r>
      <w:r w:rsidR="006975BC">
        <w:rPr>
          <w:rFonts w:ascii="Times New Roman" w:hAnsi="Times New Roman" w:cs="Times New Roman"/>
          <w:sz w:val="28"/>
          <w:szCs w:val="28"/>
        </w:rPr>
        <w:lastRenderedPageBreak/>
        <w:t>Register</w:t>
      </w:r>
      <w:r w:rsidR="006975BC">
        <w:rPr>
          <w:rFonts w:ascii="Times New Roman" w:hAnsi="Times New Roman" w:cs="Times New Roman"/>
        </w:rPr>
        <w:t xml:space="preserve">, </w:t>
      </w:r>
      <w:r w:rsidR="00A54BC2" w:rsidRPr="00A54BC2">
        <w:rPr>
          <w:rFonts w:ascii="Times New Roman" w:hAnsi="Times New Roman" w:cs="Times New Roman"/>
          <w:sz w:val="28"/>
          <w:szCs w:val="28"/>
        </w:rPr>
        <w:t>and</w:t>
      </w:r>
      <w:r w:rsidR="00A54BC2">
        <w:rPr>
          <w:rFonts w:ascii="Times New Roman" w:hAnsi="Times New Roman" w:cs="Times New Roman"/>
        </w:rPr>
        <w:t xml:space="preserve"> </w:t>
      </w:r>
      <w:r w:rsidR="00A54BC2">
        <w:rPr>
          <w:rFonts w:ascii="Times New Roman" w:hAnsi="Times New Roman" w:cs="Times New Roman"/>
          <w:sz w:val="28"/>
          <w:szCs w:val="28"/>
        </w:rPr>
        <w:t>she</w:t>
      </w:r>
      <w:r w:rsidR="00A5521A">
        <w:rPr>
          <w:rFonts w:ascii="Times New Roman" w:hAnsi="Times New Roman" w:cs="Times New Roman"/>
          <w:sz w:val="28"/>
          <w:szCs w:val="28"/>
        </w:rPr>
        <w:t xml:space="preserve"> provided</w:t>
      </w:r>
      <w:r>
        <w:rPr>
          <w:rFonts w:ascii="Times New Roman" w:hAnsi="Times New Roman" w:cs="Times New Roman"/>
          <w:sz w:val="28"/>
          <w:szCs w:val="28"/>
        </w:rPr>
        <w:t xml:space="preserve"> a response dated 14 July 2025 with appendices. The </w:t>
      </w:r>
      <w:r w:rsidR="003D2A4C">
        <w:rPr>
          <w:rFonts w:ascii="Times New Roman" w:hAnsi="Times New Roman" w:cs="Times New Roman"/>
          <w:sz w:val="28"/>
          <w:szCs w:val="28"/>
        </w:rPr>
        <w:t>Board</w:t>
      </w:r>
      <w:r>
        <w:rPr>
          <w:rFonts w:ascii="Times New Roman" w:hAnsi="Times New Roman" w:cs="Times New Roman"/>
          <w:sz w:val="28"/>
          <w:szCs w:val="28"/>
        </w:rPr>
        <w:t xml:space="preserve"> </w:t>
      </w:r>
      <w:r w:rsidR="006975BC">
        <w:rPr>
          <w:rFonts w:ascii="Times New Roman" w:hAnsi="Times New Roman" w:cs="Times New Roman"/>
          <w:sz w:val="28"/>
          <w:szCs w:val="28"/>
        </w:rPr>
        <w:t xml:space="preserve">then, </w:t>
      </w:r>
      <w:r>
        <w:rPr>
          <w:rFonts w:ascii="Times New Roman" w:hAnsi="Times New Roman" w:cs="Times New Roman"/>
          <w:sz w:val="28"/>
          <w:szCs w:val="28"/>
        </w:rPr>
        <w:t>in exercise of its statutory power under s 50 of the Act</w:t>
      </w:r>
      <w:r w:rsidR="006975BC">
        <w:rPr>
          <w:rFonts w:ascii="Times New Roman" w:hAnsi="Times New Roman" w:cs="Times New Roman"/>
          <w:sz w:val="28"/>
          <w:szCs w:val="28"/>
        </w:rPr>
        <w:t xml:space="preserve">, </w:t>
      </w:r>
      <w:r>
        <w:rPr>
          <w:rFonts w:ascii="Times New Roman" w:hAnsi="Times New Roman" w:cs="Times New Roman"/>
          <w:sz w:val="28"/>
          <w:szCs w:val="28"/>
        </w:rPr>
        <w:t>sought and received further information</w:t>
      </w:r>
      <w:r w:rsidR="006975BC">
        <w:rPr>
          <w:rFonts w:ascii="Times New Roman" w:hAnsi="Times New Roman" w:cs="Times New Roman"/>
          <w:sz w:val="28"/>
          <w:szCs w:val="28"/>
        </w:rPr>
        <w:t xml:space="preserve">, and </w:t>
      </w:r>
      <w:r w:rsidR="00FE492E">
        <w:rPr>
          <w:rFonts w:ascii="Times New Roman" w:hAnsi="Times New Roman" w:cs="Times New Roman"/>
          <w:sz w:val="28"/>
          <w:szCs w:val="28"/>
        </w:rPr>
        <w:t xml:space="preserve">Ms. Maguire </w:t>
      </w:r>
      <w:r>
        <w:rPr>
          <w:rFonts w:ascii="Times New Roman" w:hAnsi="Times New Roman" w:cs="Times New Roman"/>
          <w:sz w:val="28"/>
          <w:szCs w:val="28"/>
        </w:rPr>
        <w:t>was given an opportunity to respond.  The submission closed on 9 September 2025</w:t>
      </w:r>
      <w:r w:rsidR="00A5521A">
        <w:rPr>
          <w:rFonts w:ascii="Times New Roman" w:hAnsi="Times New Roman" w:cs="Times New Roman"/>
          <w:sz w:val="28"/>
          <w:szCs w:val="28"/>
        </w:rPr>
        <w:t xml:space="preserve">, but further </w:t>
      </w:r>
      <w:r w:rsidR="00FE492E">
        <w:rPr>
          <w:rFonts w:ascii="Times New Roman" w:hAnsi="Times New Roman" w:cs="Times New Roman"/>
          <w:sz w:val="28"/>
          <w:szCs w:val="28"/>
        </w:rPr>
        <w:t xml:space="preserve">queries were raised by the Board thereafter.  An </w:t>
      </w:r>
      <w:r w:rsidR="00A5521A">
        <w:rPr>
          <w:rFonts w:ascii="Times New Roman" w:hAnsi="Times New Roman" w:cs="Times New Roman"/>
          <w:sz w:val="28"/>
          <w:szCs w:val="28"/>
        </w:rPr>
        <w:t>extension of time w</w:t>
      </w:r>
      <w:r w:rsidR="00FE492E">
        <w:rPr>
          <w:rFonts w:ascii="Times New Roman" w:hAnsi="Times New Roman" w:cs="Times New Roman"/>
          <w:sz w:val="28"/>
          <w:szCs w:val="28"/>
        </w:rPr>
        <w:t>as</w:t>
      </w:r>
      <w:r w:rsidR="00A5521A">
        <w:rPr>
          <w:rFonts w:ascii="Times New Roman" w:hAnsi="Times New Roman" w:cs="Times New Roman"/>
          <w:sz w:val="28"/>
          <w:szCs w:val="28"/>
        </w:rPr>
        <w:t xml:space="preserve"> granted for reasons not relevant to this decision.</w:t>
      </w:r>
      <w:r>
        <w:rPr>
          <w:rFonts w:ascii="Times New Roman" w:hAnsi="Times New Roman" w:cs="Times New Roman"/>
          <w:sz w:val="28"/>
          <w:szCs w:val="28"/>
        </w:rPr>
        <w:t xml:space="preserve"> </w:t>
      </w:r>
      <w:r w:rsidR="00FE492E">
        <w:rPr>
          <w:rFonts w:ascii="Times New Roman" w:hAnsi="Times New Roman" w:cs="Times New Roman"/>
          <w:sz w:val="28"/>
          <w:szCs w:val="28"/>
        </w:rPr>
        <w:t xml:space="preserve">  All correspondence with the respondent was had with Ms Herraty.   Mr Blighe did not provide any direct correspondence although Ms Maguire says she lodged the appeal on her own behalf and on behalf of Mr. Blighe. </w:t>
      </w:r>
    </w:p>
    <w:p w14:paraId="344EDFF9" w14:textId="77777777" w:rsidR="00171744" w:rsidRPr="007A201A" w:rsidRDefault="00171744" w:rsidP="00171744">
      <w:pPr>
        <w:pStyle w:val="ListParagraph"/>
        <w:rPr>
          <w:rFonts w:ascii="Times New Roman" w:hAnsi="Times New Roman" w:cs="Times New Roman"/>
          <w:sz w:val="28"/>
          <w:szCs w:val="28"/>
        </w:rPr>
      </w:pPr>
    </w:p>
    <w:p w14:paraId="190FB176" w14:textId="77777777" w:rsidR="00171744" w:rsidRPr="00EA2A50" w:rsidRDefault="00171744" w:rsidP="00171744">
      <w:pPr>
        <w:pStyle w:val="ListParagraph"/>
        <w:rPr>
          <w:rFonts w:ascii="Times New Roman" w:hAnsi="Times New Roman" w:cs="Times New Roman"/>
          <w:b/>
          <w:bCs/>
          <w:sz w:val="28"/>
          <w:szCs w:val="28"/>
        </w:rPr>
      </w:pPr>
    </w:p>
    <w:p w14:paraId="73F0D378" w14:textId="77777777" w:rsidR="00372E1C" w:rsidRPr="00372E1C" w:rsidRDefault="00372E1C" w:rsidP="00372E1C">
      <w:pPr>
        <w:pStyle w:val="ListParagraph"/>
        <w:rPr>
          <w:rFonts w:ascii="Times New Roman" w:hAnsi="Times New Roman" w:cs="Times New Roman"/>
          <w:sz w:val="28"/>
          <w:szCs w:val="28"/>
        </w:rPr>
      </w:pPr>
    </w:p>
    <w:p w14:paraId="62BA7C29" w14:textId="4FC95CCE" w:rsidR="00372E1C" w:rsidRPr="00B50F2E" w:rsidRDefault="00372E1C" w:rsidP="00372E1C">
      <w:pPr>
        <w:pStyle w:val="NoSpacing"/>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w:t>
      </w:r>
      <w:r w:rsidRPr="00B50F2E">
        <w:rPr>
          <w:rFonts w:ascii="Times New Roman" w:hAnsi="Times New Roman" w:cs="Times New Roman"/>
          <w:b/>
          <w:bCs/>
          <w:sz w:val="28"/>
          <w:szCs w:val="28"/>
        </w:rPr>
        <w:t xml:space="preserve">he </w:t>
      </w:r>
      <w:r>
        <w:rPr>
          <w:rFonts w:ascii="Times New Roman" w:hAnsi="Times New Roman" w:cs="Times New Roman"/>
          <w:b/>
          <w:bCs/>
          <w:sz w:val="28"/>
          <w:szCs w:val="28"/>
        </w:rPr>
        <w:t xml:space="preserve">power of the </w:t>
      </w:r>
      <w:r w:rsidR="00B81FDE">
        <w:rPr>
          <w:rFonts w:ascii="Times New Roman" w:hAnsi="Times New Roman" w:cs="Times New Roman"/>
          <w:b/>
          <w:bCs/>
          <w:sz w:val="28"/>
          <w:szCs w:val="28"/>
        </w:rPr>
        <w:t>Board</w:t>
      </w:r>
      <w:r w:rsidRPr="00B50F2E">
        <w:rPr>
          <w:rFonts w:ascii="Times New Roman" w:hAnsi="Times New Roman" w:cs="Times New Roman"/>
          <w:b/>
          <w:bCs/>
          <w:sz w:val="28"/>
          <w:szCs w:val="28"/>
        </w:rPr>
        <w:t xml:space="preserve"> </w:t>
      </w:r>
      <w:r>
        <w:rPr>
          <w:rFonts w:ascii="Times New Roman" w:hAnsi="Times New Roman" w:cs="Times New Roman"/>
          <w:b/>
          <w:bCs/>
          <w:sz w:val="28"/>
          <w:szCs w:val="28"/>
        </w:rPr>
        <w:t xml:space="preserve">to determine an appeal </w:t>
      </w:r>
    </w:p>
    <w:p w14:paraId="00962254" w14:textId="4B36E11C" w:rsidR="00372E1C" w:rsidRPr="006273B0" w:rsidRDefault="00372E1C" w:rsidP="006273B0">
      <w:pPr>
        <w:pStyle w:val="NoSpacing"/>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Whilst the legislation vests in the </w:t>
      </w:r>
      <w:r w:rsidR="003D2A4C">
        <w:rPr>
          <w:rFonts w:ascii="Times New Roman" w:hAnsi="Times New Roman" w:cs="Times New Roman"/>
          <w:sz w:val="28"/>
          <w:szCs w:val="28"/>
        </w:rPr>
        <w:t>Board</w:t>
      </w:r>
      <w:r>
        <w:rPr>
          <w:rFonts w:ascii="Times New Roman" w:hAnsi="Times New Roman" w:cs="Times New Roman"/>
          <w:sz w:val="28"/>
          <w:szCs w:val="28"/>
        </w:rPr>
        <w:t xml:space="preserve"> the power to determine an appeal from the Registrar, and whilst under section 50(7) the </w:t>
      </w:r>
      <w:r w:rsidR="003D2A4C">
        <w:rPr>
          <w:rFonts w:ascii="Times New Roman" w:hAnsi="Times New Roman" w:cs="Times New Roman"/>
          <w:sz w:val="28"/>
          <w:szCs w:val="28"/>
        </w:rPr>
        <w:t>Board</w:t>
      </w:r>
      <w:r>
        <w:rPr>
          <w:rFonts w:ascii="Times New Roman" w:hAnsi="Times New Roman" w:cs="Times New Roman"/>
          <w:sz w:val="28"/>
          <w:szCs w:val="28"/>
        </w:rPr>
        <w:t xml:space="preserve"> has power to resolve any “doubt dispute or question arising in connection with the particulars required to be entered in the register”</w:t>
      </w:r>
      <w:r w:rsidR="00A5521A">
        <w:rPr>
          <w:rFonts w:ascii="Times New Roman" w:hAnsi="Times New Roman" w:cs="Times New Roman"/>
          <w:sz w:val="28"/>
          <w:szCs w:val="28"/>
        </w:rPr>
        <w:t>, t</w:t>
      </w:r>
      <w:r>
        <w:rPr>
          <w:rFonts w:ascii="Times New Roman" w:hAnsi="Times New Roman" w:cs="Times New Roman"/>
          <w:sz w:val="28"/>
          <w:szCs w:val="28"/>
        </w:rPr>
        <w:t xml:space="preserve">he </w:t>
      </w:r>
      <w:r w:rsidR="003D2A4C">
        <w:rPr>
          <w:rFonts w:ascii="Times New Roman" w:hAnsi="Times New Roman" w:cs="Times New Roman"/>
          <w:sz w:val="28"/>
          <w:szCs w:val="28"/>
        </w:rPr>
        <w:t>Board</w:t>
      </w:r>
      <w:r>
        <w:rPr>
          <w:rFonts w:ascii="Times New Roman" w:hAnsi="Times New Roman" w:cs="Times New Roman"/>
          <w:sz w:val="28"/>
          <w:szCs w:val="28"/>
        </w:rPr>
        <w:t xml:space="preserve"> </w:t>
      </w:r>
      <w:r w:rsidRPr="006273B0">
        <w:rPr>
          <w:rFonts w:ascii="Times New Roman" w:hAnsi="Times New Roman" w:cs="Times New Roman"/>
          <w:sz w:val="28"/>
          <w:szCs w:val="28"/>
        </w:rPr>
        <w:t>is conscious of the limits on its power to determine contested matters of fact</w:t>
      </w:r>
      <w:r w:rsidRPr="003F7E18">
        <w:rPr>
          <w:rStyle w:val="FootnoteReference"/>
          <w:rFonts w:ascii="Times New Roman" w:hAnsi="Times New Roman" w:cs="Times New Roman"/>
        </w:rPr>
        <w:footnoteReference w:id="1"/>
      </w:r>
      <w:r w:rsidRPr="006273B0">
        <w:rPr>
          <w:rFonts w:ascii="Times New Roman" w:hAnsi="Times New Roman" w:cs="Times New Roman"/>
          <w:sz w:val="28"/>
          <w:szCs w:val="28"/>
        </w:rPr>
        <w:t xml:space="preserve">, but </w:t>
      </w:r>
      <w:r w:rsidRPr="006273B0">
        <w:rPr>
          <w:rFonts w:ascii="Times New Roman" w:hAnsi="Times New Roman" w:cs="Times New Roman"/>
          <w:sz w:val="28"/>
          <w:szCs w:val="28"/>
        </w:rPr>
        <w:lastRenderedPageBreak/>
        <w:t xml:space="preserve">considers that it can determine the present appeal within the parameters of its statutory role under the Act of 2022 on the basis of certain agreed facts and the established principles of law that apply to unincorporated associations.  </w:t>
      </w:r>
      <w:r w:rsidR="00E9337B">
        <w:rPr>
          <w:rFonts w:ascii="Times New Roman" w:hAnsi="Times New Roman" w:cs="Times New Roman"/>
          <w:sz w:val="28"/>
          <w:szCs w:val="28"/>
        </w:rPr>
        <w:t>The Board</w:t>
      </w:r>
      <w:r w:rsidRPr="006273B0">
        <w:rPr>
          <w:rFonts w:ascii="Times New Roman" w:hAnsi="Times New Roman" w:cs="Times New Roman"/>
          <w:sz w:val="28"/>
          <w:szCs w:val="28"/>
        </w:rPr>
        <w:t xml:space="preserve"> has concluded that in the present circumstances, and </w:t>
      </w:r>
      <w:proofErr w:type="gramStart"/>
      <w:r w:rsidRPr="006273B0">
        <w:rPr>
          <w:rFonts w:ascii="Times New Roman" w:hAnsi="Times New Roman" w:cs="Times New Roman"/>
          <w:sz w:val="28"/>
          <w:szCs w:val="28"/>
        </w:rPr>
        <w:t>for the reasons that</w:t>
      </w:r>
      <w:proofErr w:type="gramEnd"/>
      <w:r w:rsidRPr="006273B0">
        <w:rPr>
          <w:rFonts w:ascii="Times New Roman" w:hAnsi="Times New Roman" w:cs="Times New Roman"/>
          <w:sz w:val="28"/>
          <w:szCs w:val="28"/>
        </w:rPr>
        <w:t xml:space="preserve"> appear in this decision, that it does not have to resolve any conflicts of facts and/or interpretations between </w:t>
      </w:r>
      <w:r w:rsidR="00EA2A50" w:rsidRPr="006273B0">
        <w:rPr>
          <w:rFonts w:ascii="Times New Roman" w:hAnsi="Times New Roman" w:cs="Times New Roman"/>
          <w:sz w:val="28"/>
          <w:szCs w:val="28"/>
        </w:rPr>
        <w:t>Ms</w:t>
      </w:r>
      <w:r w:rsidR="006273B0">
        <w:rPr>
          <w:rFonts w:ascii="Times New Roman" w:hAnsi="Times New Roman" w:cs="Times New Roman"/>
          <w:sz w:val="28"/>
          <w:szCs w:val="28"/>
        </w:rPr>
        <w:t>.</w:t>
      </w:r>
      <w:r w:rsidR="00EA2A50" w:rsidRPr="006273B0">
        <w:rPr>
          <w:rFonts w:ascii="Times New Roman" w:hAnsi="Times New Roman" w:cs="Times New Roman"/>
          <w:sz w:val="28"/>
          <w:szCs w:val="28"/>
        </w:rPr>
        <w:t xml:space="preserve"> </w:t>
      </w:r>
      <w:r w:rsidR="00FE492E" w:rsidRPr="006273B0">
        <w:rPr>
          <w:rFonts w:ascii="Times New Roman" w:hAnsi="Times New Roman" w:cs="Times New Roman"/>
          <w:sz w:val="28"/>
          <w:szCs w:val="28"/>
        </w:rPr>
        <w:t xml:space="preserve">Maguire </w:t>
      </w:r>
      <w:r w:rsidRPr="006273B0">
        <w:rPr>
          <w:rFonts w:ascii="Times New Roman" w:hAnsi="Times New Roman" w:cs="Times New Roman"/>
          <w:sz w:val="28"/>
          <w:szCs w:val="28"/>
        </w:rPr>
        <w:t>and those who were involved in organising and conducting the meeting held on</w:t>
      </w:r>
      <w:r w:rsidR="004E6A07">
        <w:rPr>
          <w:rFonts w:ascii="Times New Roman" w:hAnsi="Times New Roman" w:cs="Times New Roman"/>
          <w:sz w:val="28"/>
          <w:szCs w:val="28"/>
        </w:rPr>
        <w:t xml:space="preserve"> </w:t>
      </w:r>
      <w:r w:rsidR="007E2E0D" w:rsidRPr="006273B0">
        <w:rPr>
          <w:rFonts w:ascii="Times New Roman" w:hAnsi="Times New Roman" w:cs="Times New Roman"/>
          <w:sz w:val="28"/>
          <w:szCs w:val="28"/>
        </w:rPr>
        <w:t>16 February 2025</w:t>
      </w:r>
      <w:r w:rsidRPr="006273B0">
        <w:rPr>
          <w:rFonts w:ascii="Times New Roman" w:hAnsi="Times New Roman" w:cs="Times New Roman"/>
          <w:sz w:val="28"/>
          <w:szCs w:val="28"/>
        </w:rPr>
        <w:t xml:space="preserve">. </w:t>
      </w:r>
    </w:p>
    <w:p w14:paraId="3E9CA98A" w14:textId="77777777" w:rsidR="001D2B83" w:rsidRDefault="001D2B83" w:rsidP="001D2B83">
      <w:pPr>
        <w:pStyle w:val="ListParagraph"/>
        <w:rPr>
          <w:rFonts w:ascii="Times New Roman" w:hAnsi="Times New Roman" w:cs="Times New Roman"/>
          <w:sz w:val="28"/>
          <w:szCs w:val="28"/>
        </w:rPr>
      </w:pPr>
    </w:p>
    <w:p w14:paraId="1A43A96D" w14:textId="77777777" w:rsidR="0067388C" w:rsidRDefault="0067388C" w:rsidP="001D2B83">
      <w:pPr>
        <w:pStyle w:val="NoSpacing"/>
        <w:spacing w:line="480" w:lineRule="auto"/>
        <w:ind w:left="425"/>
        <w:jc w:val="both"/>
        <w:rPr>
          <w:rFonts w:ascii="Times New Roman" w:hAnsi="Times New Roman" w:cs="Times New Roman"/>
          <w:b/>
          <w:bCs/>
          <w:sz w:val="28"/>
          <w:szCs w:val="28"/>
        </w:rPr>
      </w:pPr>
    </w:p>
    <w:p w14:paraId="1B20EC86" w14:textId="19CDC6D8" w:rsidR="001D2B83" w:rsidRPr="00150483" w:rsidRDefault="001D2B83" w:rsidP="001D2B83">
      <w:pPr>
        <w:pStyle w:val="NoSpacing"/>
        <w:spacing w:line="480" w:lineRule="auto"/>
        <w:ind w:left="425"/>
        <w:jc w:val="both"/>
        <w:rPr>
          <w:rFonts w:ascii="Times New Roman" w:hAnsi="Times New Roman" w:cs="Times New Roman"/>
          <w:b/>
          <w:bCs/>
          <w:sz w:val="28"/>
          <w:szCs w:val="28"/>
        </w:rPr>
      </w:pPr>
      <w:r w:rsidRPr="00150483">
        <w:rPr>
          <w:rFonts w:ascii="Times New Roman" w:hAnsi="Times New Roman" w:cs="Times New Roman"/>
          <w:b/>
          <w:bCs/>
          <w:sz w:val="28"/>
          <w:szCs w:val="28"/>
        </w:rPr>
        <w:t xml:space="preserve">The Party’s constitution and the requirement for the holding of </w:t>
      </w:r>
      <w:r w:rsidR="006273B0" w:rsidRPr="00150483">
        <w:rPr>
          <w:rFonts w:ascii="Times New Roman" w:hAnsi="Times New Roman" w:cs="Times New Roman"/>
          <w:b/>
          <w:bCs/>
          <w:sz w:val="28"/>
          <w:szCs w:val="28"/>
        </w:rPr>
        <w:t>two meetings</w:t>
      </w:r>
      <w:r w:rsidRPr="00150483">
        <w:rPr>
          <w:rFonts w:ascii="Times New Roman" w:hAnsi="Times New Roman" w:cs="Times New Roman"/>
          <w:b/>
          <w:bCs/>
          <w:sz w:val="28"/>
          <w:szCs w:val="28"/>
        </w:rPr>
        <w:t xml:space="preserve"> </w:t>
      </w:r>
    </w:p>
    <w:p w14:paraId="1AAFA831" w14:textId="7E65F245" w:rsidR="00372E1C" w:rsidRPr="006273B0" w:rsidRDefault="001D2B83" w:rsidP="006273B0">
      <w:pPr>
        <w:pStyle w:val="ListParagraph"/>
        <w:numPr>
          <w:ilvl w:val="0"/>
          <w:numId w:val="1"/>
        </w:numPr>
        <w:spacing w:line="480" w:lineRule="auto"/>
        <w:jc w:val="both"/>
        <w:rPr>
          <w:rFonts w:ascii="Times New Roman" w:hAnsi="Times New Roman" w:cs="Times New Roman"/>
          <w:sz w:val="28"/>
          <w:szCs w:val="28"/>
          <w:lang w:val="en-US"/>
        </w:rPr>
      </w:pPr>
      <w:r w:rsidRPr="00150483">
        <w:rPr>
          <w:rFonts w:ascii="Times New Roman" w:hAnsi="Times New Roman" w:cs="Times New Roman"/>
          <w:sz w:val="28"/>
          <w:szCs w:val="28"/>
          <w:lang w:val="en-US"/>
        </w:rPr>
        <w:t>The constitution of the Party provides for a “leader</w:t>
      </w:r>
      <w:r w:rsidR="007E2E0D">
        <w:rPr>
          <w:rFonts w:ascii="Times New Roman" w:hAnsi="Times New Roman" w:cs="Times New Roman"/>
          <w:sz w:val="28"/>
          <w:szCs w:val="28"/>
          <w:lang w:val="en-US"/>
        </w:rPr>
        <w:t xml:space="preserve">” </w:t>
      </w:r>
      <w:r w:rsidRPr="00150483">
        <w:rPr>
          <w:rFonts w:ascii="Times New Roman" w:hAnsi="Times New Roman" w:cs="Times New Roman"/>
          <w:sz w:val="28"/>
          <w:szCs w:val="28"/>
          <w:lang w:val="en-US"/>
        </w:rPr>
        <w:t>and an executive committee,</w:t>
      </w:r>
      <w:r w:rsidR="006273B0">
        <w:rPr>
          <w:rFonts w:ascii="Times New Roman" w:hAnsi="Times New Roman" w:cs="Times New Roman"/>
          <w:sz w:val="28"/>
          <w:szCs w:val="28"/>
          <w:lang w:val="en-US"/>
        </w:rPr>
        <w:t xml:space="preserve"> </w:t>
      </w:r>
      <w:r w:rsidR="007E2E0D">
        <w:rPr>
          <w:rFonts w:ascii="Times New Roman" w:hAnsi="Times New Roman" w:cs="Times New Roman"/>
          <w:sz w:val="28"/>
          <w:szCs w:val="28"/>
          <w:lang w:val="en-US"/>
        </w:rPr>
        <w:t xml:space="preserve">who by reason of </w:t>
      </w:r>
      <w:r w:rsidRPr="00150483">
        <w:rPr>
          <w:rFonts w:ascii="Times New Roman" w:hAnsi="Times New Roman" w:cs="Times New Roman"/>
          <w:sz w:val="28"/>
          <w:szCs w:val="28"/>
          <w:lang w:val="en-US"/>
        </w:rPr>
        <w:t xml:space="preserve">Article 5 are elected through a national ballot of members. The </w:t>
      </w:r>
      <w:proofErr w:type="gramStart"/>
      <w:r w:rsidRPr="00150483">
        <w:rPr>
          <w:rFonts w:ascii="Times New Roman" w:hAnsi="Times New Roman" w:cs="Times New Roman"/>
          <w:sz w:val="28"/>
          <w:szCs w:val="28"/>
          <w:lang w:val="en-US"/>
        </w:rPr>
        <w:t>nomination</w:t>
      </w:r>
      <w:proofErr w:type="gramEnd"/>
      <w:r w:rsidRPr="00150483">
        <w:rPr>
          <w:rFonts w:ascii="Times New Roman" w:hAnsi="Times New Roman" w:cs="Times New Roman"/>
          <w:sz w:val="28"/>
          <w:szCs w:val="28"/>
          <w:lang w:val="en-US"/>
        </w:rPr>
        <w:t xml:space="preserve"> and procedures are to be determined </w:t>
      </w:r>
      <w:r w:rsidR="00E9337B" w:rsidRPr="00150483">
        <w:rPr>
          <w:rFonts w:ascii="Times New Roman" w:hAnsi="Times New Roman" w:cs="Times New Roman"/>
          <w:sz w:val="28"/>
          <w:szCs w:val="28"/>
          <w:lang w:val="en-US"/>
        </w:rPr>
        <w:t>by the executive committee</w:t>
      </w:r>
      <w:r w:rsidR="00E9337B">
        <w:rPr>
          <w:rFonts w:ascii="Times New Roman" w:hAnsi="Times New Roman" w:cs="Times New Roman"/>
          <w:sz w:val="28"/>
          <w:szCs w:val="28"/>
          <w:lang w:val="en-US"/>
        </w:rPr>
        <w:t xml:space="preserve"> </w:t>
      </w:r>
      <w:r w:rsidR="006273B0">
        <w:rPr>
          <w:rFonts w:ascii="Times New Roman" w:hAnsi="Times New Roman" w:cs="Times New Roman"/>
          <w:sz w:val="28"/>
          <w:szCs w:val="28"/>
          <w:lang w:val="en-US"/>
        </w:rPr>
        <w:t>before the vote is put to a ballot of members</w:t>
      </w:r>
      <w:r w:rsidRPr="00150483">
        <w:rPr>
          <w:rFonts w:ascii="Times New Roman" w:hAnsi="Times New Roman" w:cs="Times New Roman"/>
          <w:sz w:val="28"/>
          <w:szCs w:val="28"/>
          <w:lang w:val="en-US"/>
        </w:rPr>
        <w:t xml:space="preserve">. The party leader must be a member of the </w:t>
      </w:r>
      <w:r>
        <w:rPr>
          <w:rFonts w:ascii="Times New Roman" w:hAnsi="Times New Roman" w:cs="Times New Roman"/>
          <w:sz w:val="28"/>
          <w:szCs w:val="28"/>
          <w:lang w:val="en-US"/>
        </w:rPr>
        <w:t>Pa</w:t>
      </w:r>
      <w:r w:rsidRPr="00150483">
        <w:rPr>
          <w:rFonts w:ascii="Times New Roman" w:hAnsi="Times New Roman" w:cs="Times New Roman"/>
          <w:sz w:val="28"/>
          <w:szCs w:val="28"/>
          <w:lang w:val="en-US"/>
        </w:rPr>
        <w:t>rty and holds office for five years</w:t>
      </w:r>
      <w:r w:rsidR="006273B0">
        <w:rPr>
          <w:rFonts w:ascii="Times New Roman" w:hAnsi="Times New Roman" w:cs="Times New Roman"/>
          <w:sz w:val="28"/>
          <w:szCs w:val="28"/>
          <w:lang w:val="en-US"/>
        </w:rPr>
        <w:t xml:space="preserve">, </w:t>
      </w:r>
      <w:r w:rsidRPr="006273B0">
        <w:rPr>
          <w:rFonts w:ascii="Times New Roman" w:hAnsi="Times New Roman" w:cs="Times New Roman"/>
          <w:sz w:val="28"/>
          <w:szCs w:val="28"/>
          <w:lang w:val="en-US"/>
        </w:rPr>
        <w:t>and the</w:t>
      </w:r>
      <w:r w:rsidR="006273B0">
        <w:rPr>
          <w:rFonts w:ascii="Times New Roman" w:hAnsi="Times New Roman" w:cs="Times New Roman"/>
          <w:sz w:val="28"/>
          <w:szCs w:val="28"/>
          <w:lang w:val="en-US"/>
        </w:rPr>
        <w:t xml:space="preserve"> other members of the executive committee</w:t>
      </w:r>
      <w:r w:rsidRPr="006273B0">
        <w:rPr>
          <w:rFonts w:ascii="Times New Roman" w:hAnsi="Times New Roman" w:cs="Times New Roman"/>
          <w:sz w:val="28"/>
          <w:szCs w:val="28"/>
          <w:lang w:val="en-US"/>
        </w:rPr>
        <w:t xml:space="preserve"> each are to hold office for a term of four years. </w:t>
      </w:r>
    </w:p>
    <w:p w14:paraId="6A45CE7B" w14:textId="77777777" w:rsidR="001D2B83" w:rsidRPr="001D2B83" w:rsidRDefault="001D2B83" w:rsidP="001D2B83">
      <w:pPr>
        <w:pStyle w:val="ListParagraph"/>
        <w:rPr>
          <w:rFonts w:ascii="Times New Roman" w:hAnsi="Times New Roman" w:cs="Times New Roman"/>
          <w:sz w:val="28"/>
          <w:szCs w:val="28"/>
          <w:lang w:val="en-US"/>
        </w:rPr>
      </w:pPr>
    </w:p>
    <w:p w14:paraId="5EF9897E" w14:textId="7F156C23" w:rsidR="001D2B83" w:rsidRPr="00150483" w:rsidRDefault="00C32AB1" w:rsidP="001D2B83">
      <w:pPr>
        <w:pStyle w:val="ListParagraph"/>
        <w:numPr>
          <w:ilvl w:val="0"/>
          <w:numId w:val="1"/>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Thus, </w:t>
      </w:r>
      <w:r w:rsidR="001D2B83" w:rsidRPr="00150483">
        <w:rPr>
          <w:rFonts w:ascii="Times New Roman" w:hAnsi="Times New Roman" w:cs="Times New Roman"/>
          <w:sz w:val="28"/>
          <w:szCs w:val="28"/>
          <w:lang w:val="en-US"/>
        </w:rPr>
        <w:t>the election o</w:t>
      </w:r>
      <w:r w:rsidR="001D2B83">
        <w:rPr>
          <w:rFonts w:ascii="Times New Roman" w:hAnsi="Times New Roman" w:cs="Times New Roman"/>
          <w:sz w:val="28"/>
          <w:szCs w:val="28"/>
          <w:lang w:val="en-US"/>
        </w:rPr>
        <w:t>f officers i</w:t>
      </w:r>
      <w:r w:rsidR="001D2B83" w:rsidRPr="00150483">
        <w:rPr>
          <w:rFonts w:ascii="Times New Roman" w:hAnsi="Times New Roman" w:cs="Times New Roman"/>
          <w:sz w:val="28"/>
          <w:szCs w:val="28"/>
          <w:lang w:val="en-US"/>
        </w:rPr>
        <w:t xml:space="preserve">s </w:t>
      </w:r>
      <w:r>
        <w:rPr>
          <w:rFonts w:ascii="Times New Roman" w:hAnsi="Times New Roman" w:cs="Times New Roman"/>
          <w:sz w:val="28"/>
          <w:szCs w:val="28"/>
          <w:lang w:val="en-US"/>
        </w:rPr>
        <w:t xml:space="preserve">by vote </w:t>
      </w:r>
      <w:r w:rsidR="001D2B83" w:rsidRPr="00150483">
        <w:rPr>
          <w:rFonts w:ascii="Times New Roman" w:hAnsi="Times New Roman" w:cs="Times New Roman"/>
          <w:sz w:val="28"/>
          <w:szCs w:val="28"/>
          <w:lang w:val="en-US"/>
        </w:rPr>
        <w:t xml:space="preserve">of the members, but the </w:t>
      </w:r>
      <w:r>
        <w:rPr>
          <w:rFonts w:ascii="Times New Roman" w:hAnsi="Times New Roman" w:cs="Times New Roman"/>
          <w:sz w:val="28"/>
          <w:szCs w:val="28"/>
          <w:lang w:val="en-US"/>
        </w:rPr>
        <w:t>P</w:t>
      </w:r>
      <w:r w:rsidR="001D2B83" w:rsidRPr="00150483">
        <w:rPr>
          <w:rFonts w:ascii="Times New Roman" w:hAnsi="Times New Roman" w:cs="Times New Roman"/>
          <w:sz w:val="28"/>
          <w:szCs w:val="28"/>
          <w:lang w:val="en-US"/>
        </w:rPr>
        <w:t>arty constitution provides for a two-stage process, by which the executive committee proposes name</w:t>
      </w:r>
      <w:r>
        <w:rPr>
          <w:rFonts w:ascii="Times New Roman" w:hAnsi="Times New Roman" w:cs="Times New Roman"/>
          <w:sz w:val="28"/>
          <w:szCs w:val="28"/>
          <w:lang w:val="en-US"/>
        </w:rPr>
        <w:t>s</w:t>
      </w:r>
      <w:r w:rsidR="001D2B83" w:rsidRPr="00150483">
        <w:rPr>
          <w:rFonts w:ascii="Times New Roman" w:hAnsi="Times New Roman" w:cs="Times New Roman"/>
          <w:sz w:val="28"/>
          <w:szCs w:val="28"/>
          <w:lang w:val="en-US"/>
        </w:rPr>
        <w:t xml:space="preserve"> then put to a vote of the </w:t>
      </w:r>
      <w:proofErr w:type="gramStart"/>
      <w:r w:rsidR="001D2B83" w:rsidRPr="00150483">
        <w:rPr>
          <w:rFonts w:ascii="Times New Roman" w:hAnsi="Times New Roman" w:cs="Times New Roman"/>
          <w:sz w:val="28"/>
          <w:szCs w:val="28"/>
          <w:lang w:val="en-US"/>
        </w:rPr>
        <w:t>membership as a whole</w:t>
      </w:r>
      <w:proofErr w:type="gramEnd"/>
      <w:r w:rsidR="001D2B83" w:rsidRPr="00150483">
        <w:rPr>
          <w:rFonts w:ascii="Times New Roman" w:hAnsi="Times New Roman" w:cs="Times New Roman"/>
          <w:sz w:val="28"/>
          <w:szCs w:val="28"/>
          <w:lang w:val="en-US"/>
        </w:rPr>
        <w:t xml:space="preserve">.  </w:t>
      </w:r>
    </w:p>
    <w:p w14:paraId="261C81F7" w14:textId="77777777" w:rsidR="001D2B83" w:rsidRPr="00150483" w:rsidRDefault="001D2B83" w:rsidP="001D2B83">
      <w:pPr>
        <w:pStyle w:val="ListParagraph"/>
        <w:jc w:val="both"/>
        <w:rPr>
          <w:rFonts w:ascii="Times New Roman" w:hAnsi="Times New Roman" w:cs="Times New Roman"/>
          <w:sz w:val="28"/>
          <w:szCs w:val="28"/>
          <w:lang w:val="en-US"/>
        </w:rPr>
      </w:pPr>
    </w:p>
    <w:p w14:paraId="540AEA40" w14:textId="1D8395FE" w:rsidR="00C32AB1" w:rsidRDefault="001D2B83" w:rsidP="00C32AB1">
      <w:pPr>
        <w:pStyle w:val="ListParagraph"/>
        <w:numPr>
          <w:ilvl w:val="0"/>
          <w:numId w:val="1"/>
        </w:numPr>
        <w:spacing w:line="480" w:lineRule="auto"/>
        <w:jc w:val="both"/>
        <w:rPr>
          <w:rFonts w:ascii="Times New Roman" w:hAnsi="Times New Roman" w:cs="Times New Roman"/>
          <w:sz w:val="28"/>
          <w:szCs w:val="28"/>
          <w:lang w:val="en-US"/>
        </w:rPr>
      </w:pPr>
      <w:r w:rsidRPr="00150483">
        <w:rPr>
          <w:rFonts w:ascii="Times New Roman" w:hAnsi="Times New Roman" w:cs="Times New Roman"/>
          <w:sz w:val="28"/>
          <w:szCs w:val="28"/>
          <w:lang w:val="en-US"/>
        </w:rPr>
        <w:t xml:space="preserve">This cumbersome election process requires a decision by the executive committee to be passed by majority of 61%. The vote </w:t>
      </w:r>
      <w:r>
        <w:rPr>
          <w:rFonts w:ascii="Times New Roman" w:hAnsi="Times New Roman" w:cs="Times New Roman"/>
          <w:sz w:val="28"/>
          <w:szCs w:val="28"/>
          <w:lang w:val="en-US"/>
        </w:rPr>
        <w:t xml:space="preserve">of the membership </w:t>
      </w:r>
      <w:r w:rsidRPr="00150483">
        <w:rPr>
          <w:rFonts w:ascii="Times New Roman" w:hAnsi="Times New Roman" w:cs="Times New Roman"/>
          <w:sz w:val="28"/>
          <w:szCs w:val="28"/>
          <w:lang w:val="en-US"/>
        </w:rPr>
        <w:t xml:space="preserve">requires a simple majority of 51% of “delegates present and voting”. </w:t>
      </w:r>
    </w:p>
    <w:p w14:paraId="43347ECC" w14:textId="77777777" w:rsidR="00C32AB1" w:rsidRPr="00C32AB1" w:rsidRDefault="00C32AB1" w:rsidP="00C32AB1">
      <w:pPr>
        <w:pStyle w:val="ListParagraph"/>
        <w:rPr>
          <w:rFonts w:ascii="Times New Roman" w:hAnsi="Times New Roman" w:cs="Times New Roman"/>
          <w:sz w:val="28"/>
          <w:szCs w:val="28"/>
          <w:lang w:val="en-US"/>
        </w:rPr>
      </w:pPr>
    </w:p>
    <w:p w14:paraId="0677F667" w14:textId="77777777" w:rsidR="00C32AB1" w:rsidRPr="00C32AB1" w:rsidRDefault="00C32AB1" w:rsidP="00C32AB1">
      <w:pPr>
        <w:pStyle w:val="ListParagraph"/>
        <w:spacing w:line="480" w:lineRule="auto"/>
        <w:ind w:left="785"/>
        <w:jc w:val="both"/>
        <w:rPr>
          <w:rFonts w:ascii="Times New Roman" w:hAnsi="Times New Roman" w:cs="Times New Roman"/>
          <w:sz w:val="28"/>
          <w:szCs w:val="28"/>
          <w:lang w:val="en-US"/>
        </w:rPr>
      </w:pPr>
    </w:p>
    <w:p w14:paraId="5BB95F23" w14:textId="7C8C6F86" w:rsidR="007E2E0D" w:rsidRDefault="001D2B83" w:rsidP="004968FB">
      <w:pPr>
        <w:pStyle w:val="ListParagraph"/>
        <w:numPr>
          <w:ilvl w:val="0"/>
          <w:numId w:val="1"/>
        </w:numPr>
        <w:spacing w:line="480" w:lineRule="auto"/>
        <w:jc w:val="both"/>
        <w:rPr>
          <w:rFonts w:ascii="Times New Roman" w:hAnsi="Times New Roman" w:cs="Times New Roman"/>
          <w:sz w:val="28"/>
          <w:szCs w:val="28"/>
          <w:lang w:val="en-US"/>
        </w:rPr>
      </w:pPr>
      <w:r w:rsidRPr="00150483">
        <w:rPr>
          <w:rFonts w:ascii="Times New Roman" w:hAnsi="Times New Roman" w:cs="Times New Roman"/>
          <w:sz w:val="28"/>
          <w:szCs w:val="28"/>
          <w:lang w:val="en-US"/>
        </w:rPr>
        <w:t xml:space="preserve">Article 7 provides for the holding of a </w:t>
      </w:r>
      <w:r w:rsidR="00C32AB1">
        <w:rPr>
          <w:rFonts w:ascii="Times New Roman" w:hAnsi="Times New Roman" w:cs="Times New Roman"/>
          <w:sz w:val="28"/>
          <w:szCs w:val="28"/>
          <w:lang w:val="en-US"/>
        </w:rPr>
        <w:t>P</w:t>
      </w:r>
      <w:r w:rsidRPr="00150483">
        <w:rPr>
          <w:rFonts w:ascii="Times New Roman" w:hAnsi="Times New Roman" w:cs="Times New Roman"/>
          <w:sz w:val="28"/>
          <w:szCs w:val="28"/>
          <w:lang w:val="en-US"/>
        </w:rPr>
        <w:t xml:space="preserve">arty conference “periodically” at which various classes of persons may attend including, what one would expect, fully paid-up members, but also members of the executive committee and other invited persons who may not vote. </w:t>
      </w:r>
    </w:p>
    <w:p w14:paraId="1EFC40DD" w14:textId="77777777" w:rsidR="0067388C" w:rsidRDefault="0067388C" w:rsidP="0067388C">
      <w:pPr>
        <w:spacing w:line="480" w:lineRule="auto"/>
        <w:ind w:left="425"/>
        <w:jc w:val="both"/>
        <w:rPr>
          <w:rFonts w:ascii="Times New Roman" w:hAnsi="Times New Roman" w:cs="Times New Roman"/>
          <w:b/>
          <w:bCs/>
          <w:sz w:val="28"/>
          <w:szCs w:val="28"/>
          <w:lang w:val="en-US"/>
        </w:rPr>
      </w:pPr>
    </w:p>
    <w:p w14:paraId="385EEA75" w14:textId="329F6E8D" w:rsidR="004968FB" w:rsidRPr="0067388C" w:rsidRDefault="004968FB" w:rsidP="0067388C">
      <w:pPr>
        <w:spacing w:line="480" w:lineRule="auto"/>
        <w:ind w:left="425"/>
        <w:jc w:val="both"/>
        <w:rPr>
          <w:rFonts w:ascii="Times New Roman" w:hAnsi="Times New Roman" w:cs="Times New Roman"/>
          <w:sz w:val="28"/>
          <w:szCs w:val="28"/>
          <w:lang w:val="en-US"/>
        </w:rPr>
      </w:pPr>
      <w:r w:rsidRPr="0067388C">
        <w:rPr>
          <w:rFonts w:ascii="Times New Roman" w:hAnsi="Times New Roman" w:cs="Times New Roman"/>
          <w:b/>
          <w:bCs/>
          <w:sz w:val="28"/>
          <w:szCs w:val="28"/>
          <w:lang w:val="en-US"/>
        </w:rPr>
        <w:t>The meeting</w:t>
      </w:r>
      <w:r w:rsidR="00C32AB1">
        <w:rPr>
          <w:rFonts w:ascii="Times New Roman" w:hAnsi="Times New Roman" w:cs="Times New Roman"/>
          <w:b/>
          <w:bCs/>
          <w:sz w:val="28"/>
          <w:szCs w:val="28"/>
          <w:lang w:val="en-US"/>
        </w:rPr>
        <w:t>s</w:t>
      </w:r>
      <w:r w:rsidRPr="0067388C">
        <w:rPr>
          <w:rFonts w:ascii="Times New Roman" w:hAnsi="Times New Roman" w:cs="Times New Roman"/>
          <w:b/>
          <w:bCs/>
          <w:sz w:val="28"/>
          <w:szCs w:val="28"/>
          <w:lang w:val="en-US"/>
        </w:rPr>
        <w:t xml:space="preserve"> of 16 February 2025</w:t>
      </w:r>
    </w:p>
    <w:p w14:paraId="6789BC39" w14:textId="6285865D" w:rsidR="00FE492E" w:rsidRPr="0067388C" w:rsidRDefault="00FE492E" w:rsidP="0067388C">
      <w:pPr>
        <w:pStyle w:val="ListParagraph"/>
        <w:numPr>
          <w:ilvl w:val="0"/>
          <w:numId w:val="1"/>
        </w:numPr>
        <w:spacing w:line="480" w:lineRule="auto"/>
        <w:jc w:val="both"/>
        <w:rPr>
          <w:rFonts w:ascii="Times New Roman" w:hAnsi="Times New Roman" w:cs="Times New Roman"/>
          <w:sz w:val="28"/>
          <w:szCs w:val="28"/>
          <w:lang w:val="en-US"/>
        </w:rPr>
      </w:pPr>
      <w:r w:rsidRPr="0067388C">
        <w:rPr>
          <w:rFonts w:ascii="Times New Roman" w:hAnsi="Times New Roman" w:cs="Times New Roman"/>
          <w:sz w:val="28"/>
          <w:szCs w:val="28"/>
        </w:rPr>
        <w:t>It is contended that the two meetings, that of the executive committee and that of the members, were held on the same day and in sequence, i.e. on 16 February 2025 and on Zoom.</w:t>
      </w:r>
    </w:p>
    <w:p w14:paraId="5ACAC04D" w14:textId="77777777" w:rsidR="0067388C" w:rsidRPr="0067388C" w:rsidRDefault="0067388C" w:rsidP="0067388C">
      <w:pPr>
        <w:pStyle w:val="ListParagraph"/>
        <w:spacing w:line="480" w:lineRule="auto"/>
        <w:ind w:left="785"/>
        <w:jc w:val="both"/>
        <w:rPr>
          <w:rFonts w:ascii="Times New Roman" w:hAnsi="Times New Roman" w:cs="Times New Roman"/>
          <w:sz w:val="28"/>
          <w:szCs w:val="28"/>
          <w:lang w:val="en-US"/>
        </w:rPr>
      </w:pPr>
    </w:p>
    <w:p w14:paraId="0E2B38AB" w14:textId="787D3A63" w:rsidR="004968FB" w:rsidRDefault="004968FB" w:rsidP="0067388C">
      <w:pPr>
        <w:pStyle w:val="ListParagraph"/>
        <w:numPr>
          <w:ilvl w:val="0"/>
          <w:numId w:val="1"/>
        </w:numPr>
        <w:spacing w:line="480" w:lineRule="auto"/>
        <w:jc w:val="both"/>
        <w:rPr>
          <w:rFonts w:ascii="Times New Roman" w:hAnsi="Times New Roman" w:cs="Times New Roman"/>
          <w:sz w:val="28"/>
          <w:szCs w:val="28"/>
          <w:lang w:val="en-US"/>
        </w:rPr>
      </w:pPr>
      <w:r w:rsidRPr="0067388C">
        <w:rPr>
          <w:rFonts w:ascii="Times New Roman" w:hAnsi="Times New Roman" w:cs="Times New Roman"/>
          <w:sz w:val="28"/>
          <w:szCs w:val="28"/>
          <w:lang w:val="en-US"/>
        </w:rPr>
        <w:lastRenderedPageBreak/>
        <w:t>The registered particulars of the party provided for four authorized officers</w:t>
      </w:r>
      <w:r w:rsidR="00E9337B">
        <w:rPr>
          <w:rFonts w:ascii="Times New Roman" w:hAnsi="Times New Roman" w:cs="Times New Roman"/>
          <w:sz w:val="28"/>
          <w:szCs w:val="28"/>
          <w:lang w:val="en-US"/>
        </w:rPr>
        <w:t>:</w:t>
      </w:r>
      <w:r w:rsidRPr="0067388C">
        <w:rPr>
          <w:rFonts w:ascii="Times New Roman" w:hAnsi="Times New Roman" w:cs="Times New Roman"/>
          <w:sz w:val="28"/>
          <w:szCs w:val="28"/>
          <w:lang w:val="en-US"/>
        </w:rPr>
        <w:t xml:space="preserve"> Derek Blighe, Thomas Murphy, Sarah Herraty and Margaret Maguire.  The proposed amendment was for five members, Sarah Herraty and Derek Blighe to continue, and three new members Anthony Casey, Frank Conway and Martin Murphy to be added. The appellant Margaret Maguire therefore was removed from office and replaced.</w:t>
      </w:r>
    </w:p>
    <w:p w14:paraId="1BB106D4" w14:textId="77777777" w:rsidR="0067388C" w:rsidRPr="0067388C" w:rsidRDefault="0067388C" w:rsidP="0067388C">
      <w:pPr>
        <w:pStyle w:val="ListParagraph"/>
        <w:rPr>
          <w:rFonts w:ascii="Times New Roman" w:hAnsi="Times New Roman" w:cs="Times New Roman"/>
          <w:sz w:val="28"/>
          <w:szCs w:val="28"/>
          <w:lang w:val="en-US"/>
        </w:rPr>
      </w:pPr>
    </w:p>
    <w:p w14:paraId="34D3F2F5" w14:textId="4025CE08" w:rsidR="007E2E0D" w:rsidRDefault="004968FB" w:rsidP="0067388C">
      <w:pPr>
        <w:pStyle w:val="ListParagraph"/>
        <w:numPr>
          <w:ilvl w:val="0"/>
          <w:numId w:val="1"/>
        </w:numPr>
        <w:spacing w:line="480" w:lineRule="auto"/>
        <w:jc w:val="both"/>
        <w:rPr>
          <w:rFonts w:ascii="Times New Roman" w:hAnsi="Times New Roman" w:cs="Times New Roman"/>
          <w:sz w:val="28"/>
          <w:szCs w:val="28"/>
          <w:lang w:val="en-US"/>
        </w:rPr>
      </w:pPr>
      <w:r w:rsidRPr="0067388C">
        <w:rPr>
          <w:rFonts w:ascii="Times New Roman" w:hAnsi="Times New Roman" w:cs="Times New Roman"/>
          <w:sz w:val="28"/>
          <w:szCs w:val="28"/>
          <w:lang w:val="en-US"/>
        </w:rPr>
        <w:t xml:space="preserve">Certain </w:t>
      </w:r>
      <w:r w:rsidR="0067388C">
        <w:rPr>
          <w:rFonts w:ascii="Times New Roman" w:hAnsi="Times New Roman" w:cs="Times New Roman"/>
          <w:sz w:val="28"/>
          <w:szCs w:val="28"/>
          <w:lang w:val="en-US"/>
        </w:rPr>
        <w:t xml:space="preserve">critical </w:t>
      </w:r>
      <w:r w:rsidRPr="0067388C">
        <w:rPr>
          <w:rFonts w:ascii="Times New Roman" w:hAnsi="Times New Roman" w:cs="Times New Roman"/>
          <w:sz w:val="28"/>
          <w:szCs w:val="28"/>
          <w:lang w:val="en-US"/>
        </w:rPr>
        <w:t>facts are not in dispute. Mr. Blighe</w:t>
      </w:r>
      <w:r w:rsidR="0067388C">
        <w:rPr>
          <w:rFonts w:ascii="Times New Roman" w:hAnsi="Times New Roman" w:cs="Times New Roman"/>
          <w:sz w:val="28"/>
          <w:szCs w:val="28"/>
          <w:lang w:val="en-US"/>
        </w:rPr>
        <w:t xml:space="preserve"> </w:t>
      </w:r>
      <w:proofErr w:type="gramStart"/>
      <w:r w:rsidRPr="0067388C">
        <w:rPr>
          <w:rFonts w:ascii="Times New Roman" w:hAnsi="Times New Roman" w:cs="Times New Roman"/>
          <w:sz w:val="28"/>
          <w:szCs w:val="28"/>
          <w:lang w:val="en-US"/>
        </w:rPr>
        <w:t>was in attendance at</w:t>
      </w:r>
      <w:proofErr w:type="gramEnd"/>
      <w:r w:rsidRPr="0067388C">
        <w:rPr>
          <w:rFonts w:ascii="Times New Roman" w:hAnsi="Times New Roman" w:cs="Times New Roman"/>
          <w:sz w:val="28"/>
          <w:szCs w:val="28"/>
          <w:lang w:val="en-US"/>
        </w:rPr>
        <w:t xml:space="preserve"> the meeting on 16</w:t>
      </w:r>
      <w:r w:rsidR="00C32AB1">
        <w:rPr>
          <w:rFonts w:ascii="Times New Roman" w:hAnsi="Times New Roman" w:cs="Times New Roman"/>
          <w:sz w:val="28"/>
          <w:szCs w:val="28"/>
          <w:lang w:val="en-US"/>
        </w:rPr>
        <w:t xml:space="preserve"> </w:t>
      </w:r>
      <w:r w:rsidRPr="0067388C">
        <w:rPr>
          <w:rFonts w:ascii="Times New Roman" w:hAnsi="Times New Roman" w:cs="Times New Roman"/>
          <w:sz w:val="28"/>
          <w:szCs w:val="28"/>
          <w:lang w:val="en-US"/>
        </w:rPr>
        <w:t xml:space="preserve">of February 2025.  Ms. Herraty was also in attendance. </w:t>
      </w:r>
      <w:r w:rsidR="007E2E0D" w:rsidRPr="0067388C">
        <w:rPr>
          <w:rFonts w:ascii="Times New Roman" w:hAnsi="Times New Roman" w:cs="Times New Roman"/>
          <w:sz w:val="28"/>
          <w:szCs w:val="28"/>
          <w:lang w:val="en-US"/>
        </w:rPr>
        <w:t xml:space="preserve"> Ms.</w:t>
      </w:r>
      <w:r w:rsidRPr="0067388C">
        <w:rPr>
          <w:rFonts w:ascii="Times New Roman" w:hAnsi="Times New Roman" w:cs="Times New Roman"/>
          <w:sz w:val="28"/>
          <w:szCs w:val="28"/>
          <w:lang w:val="en-US"/>
        </w:rPr>
        <w:t xml:space="preserve"> Maguire was not. She says she was a member and that her membership had been wrongly cancelled five days before the meeting on </w:t>
      </w:r>
      <w:r w:rsidR="00C32AB1">
        <w:rPr>
          <w:rFonts w:ascii="Times New Roman" w:hAnsi="Times New Roman" w:cs="Times New Roman"/>
          <w:sz w:val="28"/>
          <w:szCs w:val="28"/>
          <w:lang w:val="en-US"/>
        </w:rPr>
        <w:t>1</w:t>
      </w:r>
      <w:r w:rsidRPr="0067388C">
        <w:rPr>
          <w:rFonts w:ascii="Times New Roman" w:hAnsi="Times New Roman" w:cs="Times New Roman"/>
          <w:sz w:val="28"/>
          <w:szCs w:val="28"/>
          <w:lang w:val="en-US"/>
        </w:rPr>
        <w:t>3</w:t>
      </w:r>
      <w:r w:rsidR="00C32AB1">
        <w:rPr>
          <w:rFonts w:ascii="Times New Roman" w:hAnsi="Times New Roman" w:cs="Times New Roman"/>
          <w:sz w:val="28"/>
          <w:szCs w:val="28"/>
          <w:lang w:val="en-US"/>
        </w:rPr>
        <w:t xml:space="preserve"> </w:t>
      </w:r>
      <w:r w:rsidRPr="0067388C">
        <w:rPr>
          <w:rFonts w:ascii="Times New Roman" w:hAnsi="Times New Roman" w:cs="Times New Roman"/>
          <w:sz w:val="28"/>
          <w:szCs w:val="28"/>
          <w:lang w:val="en-US"/>
        </w:rPr>
        <w:t xml:space="preserve">February 2025.  Ms. </w:t>
      </w:r>
      <w:proofErr w:type="spellStart"/>
      <w:r w:rsidRPr="0067388C">
        <w:rPr>
          <w:rFonts w:ascii="Times New Roman" w:hAnsi="Times New Roman" w:cs="Times New Roman"/>
          <w:sz w:val="28"/>
          <w:szCs w:val="28"/>
          <w:lang w:val="en-US"/>
        </w:rPr>
        <w:t>Herraty</w:t>
      </w:r>
      <w:proofErr w:type="spellEnd"/>
      <w:r w:rsidRPr="0067388C">
        <w:rPr>
          <w:rFonts w:ascii="Times New Roman" w:hAnsi="Times New Roman" w:cs="Times New Roman"/>
          <w:sz w:val="28"/>
          <w:szCs w:val="28"/>
          <w:lang w:val="en-US"/>
        </w:rPr>
        <w:t xml:space="preserve"> accepts tha</w:t>
      </w:r>
      <w:r w:rsidR="004E6A07">
        <w:rPr>
          <w:rFonts w:ascii="Times New Roman" w:hAnsi="Times New Roman" w:cs="Times New Roman"/>
          <w:sz w:val="28"/>
          <w:szCs w:val="28"/>
          <w:lang w:val="en-US"/>
        </w:rPr>
        <w:t>t</w:t>
      </w:r>
      <w:r w:rsidRPr="0067388C">
        <w:rPr>
          <w:rFonts w:ascii="Times New Roman" w:hAnsi="Times New Roman" w:cs="Times New Roman"/>
          <w:sz w:val="28"/>
          <w:szCs w:val="28"/>
          <w:lang w:val="en-US"/>
        </w:rPr>
        <w:t xml:space="preserve"> at the time of the meeting Ms. Maguire was indeed a </w:t>
      </w:r>
      <w:r w:rsidR="00AE44B9" w:rsidRPr="0067388C">
        <w:rPr>
          <w:rFonts w:ascii="Times New Roman" w:hAnsi="Times New Roman" w:cs="Times New Roman"/>
          <w:sz w:val="28"/>
          <w:szCs w:val="28"/>
          <w:lang w:val="en-US"/>
        </w:rPr>
        <w:t>member</w:t>
      </w:r>
      <w:r w:rsidR="00E9337B">
        <w:rPr>
          <w:rFonts w:ascii="Times New Roman" w:hAnsi="Times New Roman" w:cs="Times New Roman"/>
          <w:sz w:val="28"/>
          <w:szCs w:val="28"/>
          <w:lang w:val="en-US"/>
        </w:rPr>
        <w:t xml:space="preserve"> of the Party</w:t>
      </w:r>
      <w:r w:rsidR="00AE44B9" w:rsidRPr="0067388C">
        <w:rPr>
          <w:rFonts w:ascii="Times New Roman" w:hAnsi="Times New Roman" w:cs="Times New Roman"/>
          <w:sz w:val="28"/>
          <w:szCs w:val="28"/>
          <w:lang w:val="en-US"/>
        </w:rPr>
        <w:t>, but</w:t>
      </w:r>
      <w:r w:rsidR="007E2E0D" w:rsidRPr="0067388C">
        <w:rPr>
          <w:rFonts w:ascii="Times New Roman" w:hAnsi="Times New Roman" w:cs="Times New Roman"/>
          <w:sz w:val="28"/>
          <w:szCs w:val="28"/>
          <w:lang w:val="en-US"/>
        </w:rPr>
        <w:t xml:space="preserve"> doubts remain as to whether she had resigned from the executive committee in the days leading up to that meeting.</w:t>
      </w:r>
    </w:p>
    <w:p w14:paraId="04F2CC19" w14:textId="77777777" w:rsidR="0067388C" w:rsidRPr="0067388C" w:rsidRDefault="0067388C" w:rsidP="0067388C">
      <w:pPr>
        <w:pStyle w:val="ListParagraph"/>
        <w:rPr>
          <w:rFonts w:ascii="Times New Roman" w:hAnsi="Times New Roman" w:cs="Times New Roman"/>
          <w:sz w:val="28"/>
          <w:szCs w:val="28"/>
          <w:lang w:val="en-US"/>
        </w:rPr>
      </w:pPr>
    </w:p>
    <w:p w14:paraId="447EBE7A" w14:textId="567A10DB" w:rsidR="0067388C" w:rsidRDefault="009A26E6" w:rsidP="0067388C">
      <w:pPr>
        <w:pStyle w:val="ListParagraph"/>
        <w:numPr>
          <w:ilvl w:val="0"/>
          <w:numId w:val="1"/>
        </w:numPr>
        <w:spacing w:line="480" w:lineRule="auto"/>
        <w:jc w:val="both"/>
        <w:rPr>
          <w:rFonts w:ascii="Times New Roman" w:hAnsi="Times New Roman" w:cs="Times New Roman"/>
          <w:sz w:val="28"/>
          <w:szCs w:val="28"/>
          <w:lang w:val="en-US"/>
        </w:rPr>
      </w:pPr>
      <w:r w:rsidRPr="0067388C">
        <w:rPr>
          <w:rFonts w:ascii="Times New Roman" w:hAnsi="Times New Roman" w:cs="Times New Roman"/>
          <w:sz w:val="28"/>
          <w:szCs w:val="28"/>
          <w:lang w:val="en-US"/>
        </w:rPr>
        <w:t xml:space="preserve">The respondent argues that </w:t>
      </w:r>
      <w:r w:rsidR="00AE44B9" w:rsidRPr="0067388C">
        <w:rPr>
          <w:rFonts w:ascii="Times New Roman" w:hAnsi="Times New Roman" w:cs="Times New Roman"/>
          <w:sz w:val="28"/>
          <w:szCs w:val="28"/>
          <w:lang w:val="en-US"/>
        </w:rPr>
        <w:t>Ms.</w:t>
      </w:r>
      <w:r w:rsidRPr="0067388C">
        <w:rPr>
          <w:rFonts w:ascii="Times New Roman" w:hAnsi="Times New Roman" w:cs="Times New Roman"/>
          <w:sz w:val="28"/>
          <w:szCs w:val="28"/>
          <w:lang w:val="en-US"/>
        </w:rPr>
        <w:t xml:space="preserve"> Maguire had resigned her position on the executive in an e-mail to </w:t>
      </w:r>
      <w:r w:rsidR="00E9337B">
        <w:rPr>
          <w:rFonts w:ascii="Times New Roman" w:hAnsi="Times New Roman" w:cs="Times New Roman"/>
          <w:sz w:val="28"/>
          <w:szCs w:val="28"/>
          <w:lang w:val="en-US"/>
        </w:rPr>
        <w:t>Mr.</w:t>
      </w:r>
      <w:r w:rsidRPr="0067388C">
        <w:rPr>
          <w:rFonts w:ascii="Times New Roman" w:hAnsi="Times New Roman" w:cs="Times New Roman"/>
          <w:sz w:val="28"/>
          <w:szCs w:val="28"/>
          <w:lang w:val="en-US"/>
        </w:rPr>
        <w:t xml:space="preserve"> Blighe.  </w:t>
      </w:r>
      <w:r w:rsidR="00AE44B9" w:rsidRPr="0067388C">
        <w:rPr>
          <w:rFonts w:ascii="Times New Roman" w:hAnsi="Times New Roman" w:cs="Times New Roman"/>
          <w:sz w:val="28"/>
          <w:szCs w:val="28"/>
          <w:lang w:val="en-US"/>
        </w:rPr>
        <w:t>Ms.</w:t>
      </w:r>
      <w:r w:rsidRPr="0067388C">
        <w:rPr>
          <w:rFonts w:ascii="Times New Roman" w:hAnsi="Times New Roman" w:cs="Times New Roman"/>
          <w:sz w:val="28"/>
          <w:szCs w:val="28"/>
          <w:lang w:val="en-US"/>
        </w:rPr>
        <w:t xml:space="preserve"> Maguire says that was a personal e-mail and not an e-mail by which she formally resigned. That </w:t>
      </w:r>
      <w:proofErr w:type="gramStart"/>
      <w:r w:rsidRPr="0067388C">
        <w:rPr>
          <w:rFonts w:ascii="Times New Roman" w:hAnsi="Times New Roman" w:cs="Times New Roman"/>
          <w:sz w:val="28"/>
          <w:szCs w:val="28"/>
          <w:lang w:val="en-US"/>
        </w:rPr>
        <w:t>particular conflict</w:t>
      </w:r>
      <w:proofErr w:type="gramEnd"/>
      <w:r w:rsidRPr="0067388C">
        <w:rPr>
          <w:rFonts w:ascii="Times New Roman" w:hAnsi="Times New Roman" w:cs="Times New Roman"/>
          <w:sz w:val="28"/>
          <w:szCs w:val="28"/>
          <w:lang w:val="en-US"/>
        </w:rPr>
        <w:t xml:space="preserve"> of fact is difficult to resolve</w:t>
      </w:r>
      <w:r w:rsidR="00C32AB1">
        <w:rPr>
          <w:rFonts w:ascii="Times New Roman" w:hAnsi="Times New Roman" w:cs="Times New Roman"/>
          <w:sz w:val="28"/>
          <w:szCs w:val="28"/>
          <w:lang w:val="en-US"/>
        </w:rPr>
        <w:t xml:space="preserve">, and </w:t>
      </w:r>
      <w:r w:rsidRPr="0067388C">
        <w:rPr>
          <w:rFonts w:ascii="Times New Roman" w:hAnsi="Times New Roman" w:cs="Times New Roman"/>
          <w:sz w:val="28"/>
          <w:szCs w:val="28"/>
          <w:lang w:val="en-US"/>
        </w:rPr>
        <w:t xml:space="preserve">it is clear and undisputed that she resigned formally some weeks later. </w:t>
      </w:r>
      <w:r w:rsidR="0067388C">
        <w:rPr>
          <w:rFonts w:ascii="Times New Roman" w:hAnsi="Times New Roman" w:cs="Times New Roman"/>
          <w:sz w:val="28"/>
          <w:szCs w:val="28"/>
          <w:lang w:val="en-US"/>
        </w:rPr>
        <w:t xml:space="preserve"> What is critical however is that </w:t>
      </w:r>
      <w:r w:rsidR="0067388C" w:rsidRPr="0067388C">
        <w:rPr>
          <w:rFonts w:ascii="Times New Roman" w:hAnsi="Times New Roman" w:cs="Times New Roman"/>
          <w:sz w:val="28"/>
          <w:szCs w:val="28"/>
          <w:lang w:val="en-US"/>
        </w:rPr>
        <w:t>Ms. Herraty accept</w:t>
      </w:r>
      <w:r w:rsidR="0067388C">
        <w:rPr>
          <w:rFonts w:ascii="Times New Roman" w:hAnsi="Times New Roman" w:cs="Times New Roman"/>
          <w:sz w:val="28"/>
          <w:szCs w:val="28"/>
          <w:lang w:val="en-US"/>
        </w:rPr>
        <w:t>ed</w:t>
      </w:r>
      <w:r w:rsidR="0067388C" w:rsidRPr="0067388C">
        <w:rPr>
          <w:rFonts w:ascii="Times New Roman" w:hAnsi="Times New Roman" w:cs="Times New Roman"/>
          <w:sz w:val="28"/>
          <w:szCs w:val="28"/>
          <w:lang w:val="en-US"/>
        </w:rPr>
        <w:t xml:space="preserve"> in her letter of response </w:t>
      </w:r>
      <w:r w:rsidR="00C32AB1">
        <w:rPr>
          <w:rFonts w:ascii="Times New Roman" w:hAnsi="Times New Roman" w:cs="Times New Roman"/>
          <w:sz w:val="28"/>
          <w:szCs w:val="28"/>
          <w:lang w:val="en-US"/>
        </w:rPr>
        <w:t xml:space="preserve">to a query from the Board </w:t>
      </w:r>
      <w:r w:rsidR="0067388C" w:rsidRPr="0067388C">
        <w:rPr>
          <w:rFonts w:ascii="Times New Roman" w:hAnsi="Times New Roman" w:cs="Times New Roman"/>
          <w:sz w:val="28"/>
          <w:szCs w:val="28"/>
          <w:lang w:val="en-US"/>
        </w:rPr>
        <w:t>of 14</w:t>
      </w:r>
      <w:r w:rsidR="00C32AB1">
        <w:rPr>
          <w:rFonts w:ascii="Times New Roman" w:hAnsi="Times New Roman" w:cs="Times New Roman"/>
          <w:sz w:val="28"/>
          <w:szCs w:val="28"/>
          <w:lang w:val="en-US"/>
        </w:rPr>
        <w:t xml:space="preserve"> </w:t>
      </w:r>
      <w:r w:rsidR="0067388C" w:rsidRPr="0067388C">
        <w:rPr>
          <w:rFonts w:ascii="Times New Roman" w:hAnsi="Times New Roman" w:cs="Times New Roman"/>
          <w:sz w:val="28"/>
          <w:szCs w:val="28"/>
          <w:lang w:val="en-US"/>
        </w:rPr>
        <w:t xml:space="preserve">January 2026 that Ms. Maguire was a member of the </w:t>
      </w:r>
      <w:r w:rsidR="0067388C">
        <w:rPr>
          <w:rFonts w:ascii="Times New Roman" w:hAnsi="Times New Roman" w:cs="Times New Roman"/>
          <w:sz w:val="28"/>
          <w:szCs w:val="28"/>
          <w:lang w:val="en-US"/>
        </w:rPr>
        <w:t>P</w:t>
      </w:r>
      <w:r w:rsidR="0067388C" w:rsidRPr="0067388C">
        <w:rPr>
          <w:rFonts w:ascii="Times New Roman" w:hAnsi="Times New Roman" w:cs="Times New Roman"/>
          <w:sz w:val="28"/>
          <w:szCs w:val="28"/>
          <w:lang w:val="en-US"/>
        </w:rPr>
        <w:t>arty on 16</w:t>
      </w:r>
      <w:r w:rsidR="00C32AB1">
        <w:rPr>
          <w:rFonts w:ascii="Times New Roman" w:hAnsi="Times New Roman" w:cs="Times New Roman"/>
          <w:sz w:val="28"/>
          <w:szCs w:val="28"/>
          <w:lang w:val="en-US"/>
        </w:rPr>
        <w:t xml:space="preserve"> </w:t>
      </w:r>
      <w:r w:rsidR="0067388C" w:rsidRPr="0067388C">
        <w:rPr>
          <w:rFonts w:ascii="Times New Roman" w:hAnsi="Times New Roman" w:cs="Times New Roman"/>
          <w:sz w:val="28"/>
          <w:szCs w:val="28"/>
          <w:lang w:val="en-US"/>
        </w:rPr>
        <w:t xml:space="preserve">of </w:t>
      </w:r>
      <w:r w:rsidR="0067388C" w:rsidRPr="0067388C">
        <w:rPr>
          <w:rFonts w:ascii="Times New Roman" w:hAnsi="Times New Roman" w:cs="Times New Roman"/>
          <w:sz w:val="28"/>
          <w:szCs w:val="28"/>
          <w:lang w:val="en-US"/>
        </w:rPr>
        <w:lastRenderedPageBreak/>
        <w:t>February 2025</w:t>
      </w:r>
      <w:r w:rsidR="0067388C">
        <w:rPr>
          <w:rFonts w:ascii="Times New Roman" w:hAnsi="Times New Roman" w:cs="Times New Roman"/>
          <w:sz w:val="28"/>
          <w:szCs w:val="28"/>
          <w:lang w:val="en-US"/>
        </w:rPr>
        <w:t>.  No argument was advanced that she did not have standing to bring this appeal.</w:t>
      </w:r>
      <w:r w:rsidR="0067388C" w:rsidRPr="0067388C">
        <w:rPr>
          <w:rFonts w:ascii="Times New Roman" w:hAnsi="Times New Roman" w:cs="Times New Roman"/>
          <w:sz w:val="28"/>
          <w:szCs w:val="28"/>
          <w:lang w:val="en-US"/>
        </w:rPr>
        <w:t xml:space="preserve"> </w:t>
      </w:r>
    </w:p>
    <w:p w14:paraId="7061AE05" w14:textId="77777777" w:rsidR="0067388C" w:rsidRPr="0067388C" w:rsidRDefault="0067388C" w:rsidP="0067388C">
      <w:pPr>
        <w:pStyle w:val="ListParagraph"/>
        <w:rPr>
          <w:rFonts w:ascii="Times New Roman" w:hAnsi="Times New Roman" w:cs="Times New Roman"/>
          <w:sz w:val="28"/>
          <w:szCs w:val="28"/>
          <w:lang w:val="en-US"/>
        </w:rPr>
      </w:pPr>
    </w:p>
    <w:p w14:paraId="2451D350" w14:textId="635EFB64" w:rsidR="0067388C" w:rsidRPr="0067388C" w:rsidRDefault="009A26E6" w:rsidP="0067388C">
      <w:pPr>
        <w:pStyle w:val="ListParagraph"/>
        <w:numPr>
          <w:ilvl w:val="0"/>
          <w:numId w:val="1"/>
        </w:numPr>
        <w:spacing w:line="480" w:lineRule="auto"/>
        <w:jc w:val="both"/>
        <w:rPr>
          <w:rFonts w:ascii="Times New Roman" w:hAnsi="Times New Roman" w:cs="Times New Roman"/>
          <w:sz w:val="28"/>
          <w:szCs w:val="28"/>
          <w:lang w:val="en-US"/>
        </w:rPr>
      </w:pPr>
      <w:r w:rsidRPr="0067388C">
        <w:rPr>
          <w:rFonts w:ascii="Times New Roman" w:hAnsi="Times New Roman" w:cs="Times New Roman"/>
          <w:sz w:val="28"/>
          <w:szCs w:val="28"/>
          <w:lang w:val="en-US"/>
        </w:rPr>
        <w:t xml:space="preserve">Mr. </w:t>
      </w:r>
      <w:proofErr w:type="spellStart"/>
      <w:r w:rsidRPr="0067388C">
        <w:rPr>
          <w:rFonts w:ascii="Times New Roman" w:hAnsi="Times New Roman" w:cs="Times New Roman"/>
          <w:sz w:val="28"/>
          <w:szCs w:val="28"/>
          <w:lang w:val="en-US"/>
        </w:rPr>
        <w:t>Bligh</w:t>
      </w:r>
      <w:r w:rsidR="004E6A07">
        <w:rPr>
          <w:rFonts w:ascii="Times New Roman" w:hAnsi="Times New Roman" w:cs="Times New Roman"/>
          <w:sz w:val="28"/>
          <w:szCs w:val="28"/>
          <w:lang w:val="en-US"/>
        </w:rPr>
        <w:t>e</w:t>
      </w:r>
      <w:proofErr w:type="spellEnd"/>
      <w:r w:rsidRPr="0067388C">
        <w:rPr>
          <w:rFonts w:ascii="Times New Roman" w:hAnsi="Times New Roman" w:cs="Times New Roman"/>
          <w:sz w:val="28"/>
          <w:szCs w:val="28"/>
          <w:lang w:val="en-US"/>
        </w:rPr>
        <w:t xml:space="preserve"> on the other hand did attend the meeting</w:t>
      </w:r>
      <w:r w:rsidR="00C32AB1">
        <w:rPr>
          <w:rFonts w:ascii="Times New Roman" w:hAnsi="Times New Roman" w:cs="Times New Roman"/>
          <w:sz w:val="28"/>
          <w:szCs w:val="28"/>
          <w:lang w:val="en-US"/>
        </w:rPr>
        <w:t>s</w:t>
      </w:r>
      <w:r w:rsidRPr="0067388C">
        <w:rPr>
          <w:rFonts w:ascii="Times New Roman" w:hAnsi="Times New Roman" w:cs="Times New Roman"/>
          <w:sz w:val="28"/>
          <w:szCs w:val="28"/>
          <w:lang w:val="en-US"/>
        </w:rPr>
        <w:t xml:space="preserve">, he nominated Mr. Casey as </w:t>
      </w:r>
      <w:r w:rsidR="00C32AB1">
        <w:rPr>
          <w:rFonts w:ascii="Times New Roman" w:hAnsi="Times New Roman" w:cs="Times New Roman"/>
          <w:sz w:val="28"/>
          <w:szCs w:val="28"/>
          <w:lang w:val="en-US"/>
        </w:rPr>
        <w:t xml:space="preserve">leader, </w:t>
      </w:r>
      <w:r w:rsidRPr="0067388C">
        <w:rPr>
          <w:rFonts w:ascii="Times New Roman" w:hAnsi="Times New Roman" w:cs="Times New Roman"/>
          <w:sz w:val="28"/>
          <w:szCs w:val="28"/>
          <w:lang w:val="en-US"/>
        </w:rPr>
        <w:t>and he himself can be taken to have resigned as a result, and he also took on another role in the party following the meeting.</w:t>
      </w:r>
      <w:r w:rsidR="0067388C" w:rsidRPr="0067388C">
        <w:rPr>
          <w:rFonts w:ascii="Times New Roman" w:hAnsi="Times New Roman" w:cs="Times New Roman"/>
          <w:sz w:val="28"/>
          <w:szCs w:val="28"/>
          <w:lang w:val="en-US"/>
        </w:rPr>
        <w:t xml:space="preserve">  His role as an appellant is therefore difficult to reconcile with his actions at the time of the meeting and thereafter.</w:t>
      </w:r>
    </w:p>
    <w:p w14:paraId="72246147" w14:textId="77777777" w:rsidR="0067388C" w:rsidRPr="0067388C" w:rsidRDefault="0067388C" w:rsidP="0067388C">
      <w:pPr>
        <w:pStyle w:val="ListParagraph"/>
        <w:rPr>
          <w:rFonts w:ascii="Times New Roman" w:hAnsi="Times New Roman" w:cs="Times New Roman"/>
          <w:sz w:val="28"/>
          <w:szCs w:val="28"/>
          <w:lang w:val="en-US"/>
        </w:rPr>
      </w:pPr>
    </w:p>
    <w:p w14:paraId="7A1E27AD" w14:textId="25CFF43C" w:rsidR="009A26E6" w:rsidRDefault="0067388C" w:rsidP="0067388C">
      <w:pPr>
        <w:pStyle w:val="ListParagraph"/>
        <w:numPr>
          <w:ilvl w:val="0"/>
          <w:numId w:val="1"/>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01CB5" w:rsidRPr="0067388C">
        <w:rPr>
          <w:rFonts w:ascii="Times New Roman" w:hAnsi="Times New Roman" w:cs="Times New Roman"/>
          <w:sz w:val="28"/>
          <w:szCs w:val="28"/>
          <w:lang w:val="en-US"/>
        </w:rPr>
        <w:t>Declan O’Mahoney was a committee member</w:t>
      </w:r>
      <w:r w:rsidR="00E9337B">
        <w:rPr>
          <w:rFonts w:ascii="Times New Roman" w:hAnsi="Times New Roman" w:cs="Times New Roman"/>
          <w:sz w:val="28"/>
          <w:szCs w:val="28"/>
          <w:lang w:val="en-US"/>
        </w:rPr>
        <w:t xml:space="preserve">, and acted as auditor, </w:t>
      </w:r>
      <w:r w:rsidR="00B01CB5" w:rsidRPr="0067388C">
        <w:rPr>
          <w:rFonts w:ascii="Times New Roman" w:hAnsi="Times New Roman" w:cs="Times New Roman"/>
          <w:sz w:val="28"/>
          <w:szCs w:val="28"/>
          <w:lang w:val="en-US"/>
        </w:rPr>
        <w:t xml:space="preserve">but was not </w:t>
      </w:r>
      <w:r>
        <w:rPr>
          <w:rFonts w:ascii="Times New Roman" w:hAnsi="Times New Roman" w:cs="Times New Roman"/>
          <w:sz w:val="28"/>
          <w:szCs w:val="28"/>
          <w:lang w:val="en-US"/>
        </w:rPr>
        <w:t xml:space="preserve">notified of </w:t>
      </w:r>
      <w:r w:rsidR="00B01CB5" w:rsidRPr="0067388C">
        <w:rPr>
          <w:rFonts w:ascii="Times New Roman" w:hAnsi="Times New Roman" w:cs="Times New Roman"/>
          <w:sz w:val="28"/>
          <w:szCs w:val="28"/>
          <w:lang w:val="en-US"/>
        </w:rPr>
        <w:t>the meeting</w:t>
      </w:r>
      <w:r>
        <w:rPr>
          <w:rFonts w:ascii="Times New Roman" w:hAnsi="Times New Roman" w:cs="Times New Roman"/>
          <w:sz w:val="28"/>
          <w:szCs w:val="28"/>
          <w:lang w:val="en-US"/>
        </w:rPr>
        <w:t xml:space="preserve"> of the executive committee</w:t>
      </w:r>
      <w:r w:rsidR="00B01CB5" w:rsidRPr="0067388C">
        <w:rPr>
          <w:rFonts w:ascii="Times New Roman" w:hAnsi="Times New Roman" w:cs="Times New Roman"/>
          <w:sz w:val="28"/>
          <w:szCs w:val="28"/>
          <w:lang w:val="en-US"/>
        </w:rPr>
        <w:t xml:space="preserve">. He was not a member of the </w:t>
      </w:r>
      <w:r w:rsidR="00AE44B9" w:rsidRPr="0067388C">
        <w:rPr>
          <w:rFonts w:ascii="Times New Roman" w:hAnsi="Times New Roman" w:cs="Times New Roman"/>
          <w:sz w:val="28"/>
          <w:szCs w:val="28"/>
          <w:lang w:val="en-US"/>
        </w:rPr>
        <w:t>Party,</w:t>
      </w:r>
      <w:r w:rsidR="00B01CB5" w:rsidRPr="0067388C">
        <w:rPr>
          <w:rFonts w:ascii="Times New Roman" w:hAnsi="Times New Roman" w:cs="Times New Roman"/>
          <w:sz w:val="28"/>
          <w:szCs w:val="28"/>
          <w:lang w:val="en-US"/>
        </w:rPr>
        <w:t xml:space="preserve"> and it may </w:t>
      </w:r>
      <w:r>
        <w:rPr>
          <w:rFonts w:ascii="Times New Roman" w:hAnsi="Times New Roman" w:cs="Times New Roman"/>
          <w:sz w:val="28"/>
          <w:szCs w:val="28"/>
          <w:lang w:val="en-US"/>
        </w:rPr>
        <w:t xml:space="preserve">therefore </w:t>
      </w:r>
      <w:r w:rsidR="00B81FDE" w:rsidRPr="0067388C">
        <w:rPr>
          <w:rFonts w:ascii="Times New Roman" w:hAnsi="Times New Roman" w:cs="Times New Roman"/>
          <w:sz w:val="28"/>
          <w:szCs w:val="28"/>
          <w:lang w:val="en-US"/>
        </w:rPr>
        <w:t xml:space="preserve">have </w:t>
      </w:r>
      <w:r w:rsidR="00B01CB5" w:rsidRPr="0067388C">
        <w:rPr>
          <w:rFonts w:ascii="Times New Roman" w:hAnsi="Times New Roman" w:cs="Times New Roman"/>
          <w:sz w:val="28"/>
          <w:szCs w:val="28"/>
          <w:lang w:val="en-US"/>
        </w:rPr>
        <w:t>be</w:t>
      </w:r>
      <w:r w:rsidR="00B81FDE" w:rsidRPr="0067388C">
        <w:rPr>
          <w:rFonts w:ascii="Times New Roman" w:hAnsi="Times New Roman" w:cs="Times New Roman"/>
          <w:sz w:val="28"/>
          <w:szCs w:val="28"/>
          <w:lang w:val="en-US"/>
        </w:rPr>
        <w:t>en</w:t>
      </w:r>
      <w:r w:rsidR="00B01CB5" w:rsidRPr="0067388C">
        <w:rPr>
          <w:rFonts w:ascii="Times New Roman" w:hAnsi="Times New Roman" w:cs="Times New Roman"/>
          <w:sz w:val="28"/>
          <w:szCs w:val="28"/>
          <w:lang w:val="en-US"/>
        </w:rPr>
        <w:t xml:space="preserve"> legitimate to exclude him from notification of a general meeting of the </w:t>
      </w:r>
      <w:r>
        <w:rPr>
          <w:rFonts w:ascii="Times New Roman" w:hAnsi="Times New Roman" w:cs="Times New Roman"/>
          <w:sz w:val="28"/>
          <w:szCs w:val="28"/>
          <w:lang w:val="en-US"/>
        </w:rPr>
        <w:t>P</w:t>
      </w:r>
      <w:r w:rsidR="00B01CB5" w:rsidRPr="0067388C">
        <w:rPr>
          <w:rFonts w:ascii="Times New Roman" w:hAnsi="Times New Roman" w:cs="Times New Roman"/>
          <w:sz w:val="28"/>
          <w:szCs w:val="28"/>
          <w:lang w:val="en-US"/>
        </w:rPr>
        <w:t xml:space="preserve">arty. </w:t>
      </w:r>
      <w:r w:rsidR="00B81FDE" w:rsidRPr="0067388C">
        <w:rPr>
          <w:rFonts w:ascii="Times New Roman" w:hAnsi="Times New Roman" w:cs="Times New Roman"/>
          <w:sz w:val="28"/>
          <w:szCs w:val="28"/>
          <w:lang w:val="en-US"/>
        </w:rPr>
        <w:t>I</w:t>
      </w:r>
      <w:r w:rsidR="00B01CB5" w:rsidRPr="0067388C">
        <w:rPr>
          <w:rFonts w:ascii="Times New Roman" w:hAnsi="Times New Roman" w:cs="Times New Roman"/>
          <w:sz w:val="28"/>
          <w:szCs w:val="28"/>
          <w:lang w:val="en-US"/>
        </w:rPr>
        <w:t xml:space="preserve">t is not necessary for the </w:t>
      </w:r>
      <w:r w:rsidR="00B81FDE" w:rsidRPr="0067388C">
        <w:rPr>
          <w:rFonts w:ascii="Times New Roman" w:hAnsi="Times New Roman" w:cs="Times New Roman"/>
          <w:sz w:val="28"/>
          <w:szCs w:val="28"/>
          <w:lang w:val="en-US"/>
        </w:rPr>
        <w:t>Board</w:t>
      </w:r>
      <w:r w:rsidR="00B01CB5" w:rsidRPr="0067388C">
        <w:rPr>
          <w:rFonts w:ascii="Times New Roman" w:hAnsi="Times New Roman" w:cs="Times New Roman"/>
          <w:sz w:val="28"/>
          <w:szCs w:val="28"/>
          <w:lang w:val="en-US"/>
        </w:rPr>
        <w:t xml:space="preserve"> to consider the question </w:t>
      </w:r>
      <w:r>
        <w:rPr>
          <w:rFonts w:ascii="Times New Roman" w:hAnsi="Times New Roman" w:cs="Times New Roman"/>
          <w:sz w:val="28"/>
          <w:szCs w:val="28"/>
          <w:lang w:val="en-US"/>
        </w:rPr>
        <w:t xml:space="preserve">raised in the appeal </w:t>
      </w:r>
      <w:r w:rsidR="00B01CB5" w:rsidRPr="0067388C">
        <w:rPr>
          <w:rFonts w:ascii="Times New Roman" w:hAnsi="Times New Roman" w:cs="Times New Roman"/>
          <w:sz w:val="28"/>
          <w:szCs w:val="28"/>
          <w:lang w:val="en-US"/>
        </w:rPr>
        <w:t xml:space="preserve">of whether the auditor could also be treasurer of the </w:t>
      </w:r>
      <w:r w:rsidR="00C32AB1">
        <w:rPr>
          <w:rFonts w:ascii="Times New Roman" w:hAnsi="Times New Roman" w:cs="Times New Roman"/>
          <w:sz w:val="28"/>
          <w:szCs w:val="28"/>
          <w:lang w:val="en-US"/>
        </w:rPr>
        <w:t>P</w:t>
      </w:r>
      <w:r w:rsidR="00B01CB5" w:rsidRPr="0067388C">
        <w:rPr>
          <w:rFonts w:ascii="Times New Roman" w:hAnsi="Times New Roman" w:cs="Times New Roman"/>
          <w:sz w:val="28"/>
          <w:szCs w:val="28"/>
          <w:lang w:val="en-US"/>
        </w:rPr>
        <w:t xml:space="preserve">arty, </w:t>
      </w:r>
      <w:r>
        <w:rPr>
          <w:rFonts w:ascii="Times New Roman" w:hAnsi="Times New Roman" w:cs="Times New Roman"/>
          <w:sz w:val="28"/>
          <w:szCs w:val="28"/>
          <w:lang w:val="en-US"/>
        </w:rPr>
        <w:t xml:space="preserve">as </w:t>
      </w:r>
      <w:r w:rsidR="00B01CB5" w:rsidRPr="0067388C">
        <w:rPr>
          <w:rFonts w:ascii="Times New Roman" w:hAnsi="Times New Roman" w:cs="Times New Roman"/>
          <w:sz w:val="28"/>
          <w:szCs w:val="28"/>
          <w:lang w:val="en-US"/>
        </w:rPr>
        <w:t xml:space="preserve">nothing in this </w:t>
      </w:r>
      <w:proofErr w:type="gramStart"/>
      <w:r w:rsidR="00B01CB5" w:rsidRPr="0067388C">
        <w:rPr>
          <w:rFonts w:ascii="Times New Roman" w:hAnsi="Times New Roman" w:cs="Times New Roman"/>
          <w:sz w:val="28"/>
          <w:szCs w:val="28"/>
          <w:lang w:val="en-US"/>
        </w:rPr>
        <w:t>appeal it</w:t>
      </w:r>
      <w:proofErr w:type="gramEnd"/>
      <w:r w:rsidR="00B01CB5" w:rsidRPr="0067388C">
        <w:rPr>
          <w:rFonts w:ascii="Times New Roman" w:hAnsi="Times New Roman" w:cs="Times New Roman"/>
          <w:sz w:val="28"/>
          <w:szCs w:val="28"/>
          <w:lang w:val="en-US"/>
        </w:rPr>
        <w:t xml:space="preserve"> can be resolved by a decision on that question.</w:t>
      </w:r>
      <w:r w:rsidR="00C32AB1">
        <w:rPr>
          <w:rFonts w:ascii="Times New Roman" w:hAnsi="Times New Roman" w:cs="Times New Roman"/>
          <w:sz w:val="28"/>
          <w:szCs w:val="28"/>
          <w:lang w:val="en-US"/>
        </w:rPr>
        <w:t xml:space="preserve">   What is of significance is that he was not notified of the meeting of the executive committee.</w:t>
      </w:r>
    </w:p>
    <w:p w14:paraId="11D8BE48" w14:textId="77777777" w:rsidR="008F1A63" w:rsidRPr="008F1A63" w:rsidRDefault="008F1A63" w:rsidP="008F1A63">
      <w:pPr>
        <w:pStyle w:val="ListParagraph"/>
        <w:rPr>
          <w:rFonts w:ascii="Times New Roman" w:hAnsi="Times New Roman" w:cs="Times New Roman"/>
          <w:sz w:val="28"/>
          <w:szCs w:val="28"/>
          <w:lang w:val="en-US"/>
        </w:rPr>
      </w:pPr>
    </w:p>
    <w:p w14:paraId="21282B58" w14:textId="055DEA51" w:rsidR="00E9337B" w:rsidRDefault="00E9337B" w:rsidP="00E9337B">
      <w:pPr>
        <w:pStyle w:val="ListParagraph"/>
        <w:numPr>
          <w:ilvl w:val="0"/>
          <w:numId w:val="1"/>
        </w:numPr>
        <w:spacing w:line="480" w:lineRule="auto"/>
        <w:jc w:val="both"/>
        <w:rPr>
          <w:rFonts w:ascii="Times New Roman" w:hAnsi="Times New Roman" w:cs="Times New Roman"/>
          <w:sz w:val="28"/>
          <w:szCs w:val="28"/>
          <w:lang w:val="en-US"/>
        </w:rPr>
      </w:pPr>
      <w:r w:rsidRPr="0067388C">
        <w:rPr>
          <w:rFonts w:ascii="Times New Roman" w:hAnsi="Times New Roman" w:cs="Times New Roman"/>
          <w:sz w:val="28"/>
          <w:szCs w:val="28"/>
          <w:lang w:val="en-US"/>
        </w:rPr>
        <w:t xml:space="preserve">Ms. Herraty says that she had meetings or conversations with Mr. Blighe in December 2024 where a change in leadership was suggested and, it seems, agreed, but these informal conversations, even were one to accept some degree of informality was permissible in these discussions, could not be said to be a meeting of the committee at which new names were </w:t>
      </w:r>
      <w:r w:rsidRPr="0067388C">
        <w:rPr>
          <w:rFonts w:ascii="Times New Roman" w:hAnsi="Times New Roman" w:cs="Times New Roman"/>
          <w:sz w:val="28"/>
          <w:szCs w:val="28"/>
          <w:lang w:val="en-US"/>
        </w:rPr>
        <w:lastRenderedPageBreak/>
        <w:t>proposed, and at best these meetings were between Mr. Blighe and Ms. Herraty, and the other committee members were not present.  It is unclear if those other members were even informed of the intention to change the leadership and composition of the executive committee.</w:t>
      </w:r>
    </w:p>
    <w:p w14:paraId="201B4F91" w14:textId="77777777" w:rsidR="00E9337B" w:rsidRPr="00E9337B" w:rsidRDefault="00E9337B" w:rsidP="00E9337B">
      <w:pPr>
        <w:pStyle w:val="ListParagraph"/>
        <w:rPr>
          <w:rFonts w:ascii="Times New Roman" w:hAnsi="Times New Roman" w:cs="Times New Roman"/>
          <w:sz w:val="28"/>
          <w:szCs w:val="28"/>
          <w:lang w:val="en-US"/>
        </w:rPr>
      </w:pPr>
    </w:p>
    <w:p w14:paraId="51A0C7BC" w14:textId="77777777" w:rsidR="00E9337B" w:rsidRPr="00E9337B" w:rsidRDefault="00E9337B" w:rsidP="00E9337B">
      <w:pPr>
        <w:pStyle w:val="ListParagraph"/>
        <w:spacing w:line="480" w:lineRule="auto"/>
        <w:ind w:left="785"/>
        <w:jc w:val="both"/>
        <w:rPr>
          <w:rFonts w:ascii="Times New Roman" w:hAnsi="Times New Roman" w:cs="Times New Roman"/>
          <w:sz w:val="28"/>
          <w:szCs w:val="28"/>
          <w:lang w:val="en-US"/>
        </w:rPr>
      </w:pPr>
    </w:p>
    <w:p w14:paraId="18B27900" w14:textId="1F44E3C7" w:rsidR="008F1A63" w:rsidRPr="008F1A63" w:rsidRDefault="004E6A07" w:rsidP="008F1A63">
      <w:pPr>
        <w:pStyle w:val="ListParagraph"/>
        <w:numPr>
          <w:ilvl w:val="0"/>
          <w:numId w:val="1"/>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F1A63">
        <w:rPr>
          <w:rFonts w:ascii="Times New Roman" w:hAnsi="Times New Roman" w:cs="Times New Roman"/>
          <w:sz w:val="28"/>
          <w:szCs w:val="28"/>
          <w:lang w:val="en-US"/>
        </w:rPr>
        <w:t>Ms. Herraty,</w:t>
      </w:r>
      <w:r w:rsidR="008F1A63" w:rsidRPr="00F67E59">
        <w:rPr>
          <w:rFonts w:ascii="Times New Roman" w:hAnsi="Times New Roman" w:cs="Times New Roman"/>
          <w:sz w:val="28"/>
          <w:szCs w:val="28"/>
          <w:lang w:val="en-US"/>
        </w:rPr>
        <w:t xml:space="preserve"> in exchanges with </w:t>
      </w:r>
      <w:r w:rsidR="008F1A63">
        <w:rPr>
          <w:rFonts w:ascii="Times New Roman" w:hAnsi="Times New Roman" w:cs="Times New Roman"/>
          <w:sz w:val="28"/>
          <w:szCs w:val="28"/>
          <w:lang w:val="en-US"/>
        </w:rPr>
        <w:t xml:space="preserve">Mr. </w:t>
      </w:r>
      <w:r w:rsidR="008F1A63" w:rsidRPr="00F67E59">
        <w:rPr>
          <w:rFonts w:ascii="Times New Roman" w:hAnsi="Times New Roman" w:cs="Times New Roman"/>
          <w:sz w:val="28"/>
          <w:szCs w:val="28"/>
          <w:lang w:val="en-US"/>
        </w:rPr>
        <w:t>Blighe six days after the meeting</w:t>
      </w:r>
      <w:r w:rsidR="008F1A63">
        <w:rPr>
          <w:rFonts w:ascii="Times New Roman" w:hAnsi="Times New Roman" w:cs="Times New Roman"/>
          <w:sz w:val="28"/>
          <w:szCs w:val="28"/>
          <w:lang w:val="en-US"/>
        </w:rPr>
        <w:t xml:space="preserve">s, </w:t>
      </w:r>
      <w:r w:rsidR="008F1A63" w:rsidRPr="00F67E59">
        <w:rPr>
          <w:rFonts w:ascii="Times New Roman" w:hAnsi="Times New Roman" w:cs="Times New Roman"/>
          <w:sz w:val="28"/>
          <w:szCs w:val="28"/>
          <w:lang w:val="en-US"/>
        </w:rPr>
        <w:t xml:space="preserve">confirmed that she had not received resignations from the committee from </w:t>
      </w:r>
      <w:r w:rsidR="008F1A63">
        <w:rPr>
          <w:rFonts w:ascii="Times New Roman" w:hAnsi="Times New Roman" w:cs="Times New Roman"/>
          <w:sz w:val="28"/>
          <w:szCs w:val="28"/>
          <w:lang w:val="en-US"/>
        </w:rPr>
        <w:t xml:space="preserve">either </w:t>
      </w:r>
      <w:r w:rsidR="00E9337B">
        <w:rPr>
          <w:rFonts w:ascii="Times New Roman" w:hAnsi="Times New Roman" w:cs="Times New Roman"/>
          <w:sz w:val="28"/>
          <w:szCs w:val="28"/>
          <w:lang w:val="en-US"/>
        </w:rPr>
        <w:t xml:space="preserve">Mr. </w:t>
      </w:r>
      <w:r w:rsidR="008F1A63" w:rsidRPr="00F67E59">
        <w:rPr>
          <w:rFonts w:ascii="Times New Roman" w:hAnsi="Times New Roman" w:cs="Times New Roman"/>
          <w:sz w:val="28"/>
          <w:szCs w:val="28"/>
          <w:lang w:val="en-US"/>
        </w:rPr>
        <w:t>McGovern or Ms. M</w:t>
      </w:r>
      <w:r w:rsidR="008F1A63">
        <w:rPr>
          <w:rFonts w:ascii="Times New Roman" w:hAnsi="Times New Roman" w:cs="Times New Roman"/>
          <w:sz w:val="28"/>
          <w:szCs w:val="28"/>
          <w:lang w:val="en-US"/>
        </w:rPr>
        <w:t xml:space="preserve">aguire, but there is a lack of clarity as to the procedures for resignation from the executive committee, and Ms. Maguire’s conduct is at best ambivalent in that she had engaged in correspondence where she suggested she was intending to resign office, and that correspondence has been relied on by Ms. Herraty as conclusive of the fact that Ms. Maguire was no longer a member of the executive committee on 16 February 2025.   The Board finds it difficult to resolve this conflict and the contradictions in the correspondence with both sides. </w:t>
      </w:r>
    </w:p>
    <w:p w14:paraId="1ACA4D58" w14:textId="77777777" w:rsidR="0067388C" w:rsidRPr="0067388C" w:rsidRDefault="0067388C" w:rsidP="0067388C">
      <w:pPr>
        <w:pStyle w:val="ListParagraph"/>
        <w:rPr>
          <w:rFonts w:ascii="Times New Roman" w:hAnsi="Times New Roman" w:cs="Times New Roman"/>
          <w:sz w:val="28"/>
          <w:szCs w:val="28"/>
          <w:lang w:val="en-US"/>
        </w:rPr>
      </w:pPr>
    </w:p>
    <w:p w14:paraId="4ACE4224" w14:textId="77777777" w:rsidR="002851CE" w:rsidRPr="002851CE" w:rsidRDefault="002851CE" w:rsidP="002851CE">
      <w:pPr>
        <w:pStyle w:val="ListParagraph"/>
        <w:rPr>
          <w:rFonts w:ascii="Times New Roman" w:hAnsi="Times New Roman" w:cs="Times New Roman"/>
          <w:sz w:val="28"/>
          <w:szCs w:val="28"/>
          <w:lang w:val="en-US"/>
        </w:rPr>
      </w:pPr>
    </w:p>
    <w:p w14:paraId="1B9E49C4" w14:textId="6EAEEA10" w:rsidR="004968FB" w:rsidRPr="002851CE" w:rsidRDefault="004968FB" w:rsidP="002851CE">
      <w:pPr>
        <w:spacing w:line="480" w:lineRule="auto"/>
        <w:jc w:val="both"/>
        <w:rPr>
          <w:rFonts w:ascii="Times New Roman" w:hAnsi="Times New Roman" w:cs="Times New Roman"/>
          <w:sz w:val="28"/>
          <w:szCs w:val="28"/>
          <w:lang w:val="en-US"/>
        </w:rPr>
      </w:pPr>
      <w:r w:rsidRPr="002851CE">
        <w:rPr>
          <w:rFonts w:ascii="Times New Roman" w:hAnsi="Times New Roman" w:cs="Times New Roman"/>
          <w:b/>
          <w:bCs/>
          <w:sz w:val="28"/>
          <w:szCs w:val="28"/>
          <w:lang w:val="en-US"/>
        </w:rPr>
        <w:t>The issues in the appeal</w:t>
      </w:r>
    </w:p>
    <w:p w14:paraId="2DEDCF36" w14:textId="77777777" w:rsidR="002851CE" w:rsidRPr="002851CE" w:rsidRDefault="002851CE" w:rsidP="002851CE">
      <w:pPr>
        <w:pStyle w:val="ListParagraph"/>
        <w:rPr>
          <w:rFonts w:ascii="Times New Roman" w:hAnsi="Times New Roman" w:cs="Times New Roman"/>
          <w:sz w:val="28"/>
          <w:szCs w:val="28"/>
          <w:lang w:val="en-US"/>
        </w:rPr>
      </w:pPr>
    </w:p>
    <w:p w14:paraId="65B80AAE" w14:textId="77C24D30" w:rsidR="00372E1C" w:rsidRPr="002851CE" w:rsidRDefault="004968FB" w:rsidP="002851CE">
      <w:pPr>
        <w:pStyle w:val="ListParagraph"/>
        <w:numPr>
          <w:ilvl w:val="0"/>
          <w:numId w:val="1"/>
        </w:numPr>
        <w:spacing w:line="480" w:lineRule="auto"/>
        <w:jc w:val="both"/>
        <w:rPr>
          <w:rFonts w:ascii="Times New Roman" w:hAnsi="Times New Roman" w:cs="Times New Roman"/>
          <w:sz w:val="28"/>
          <w:szCs w:val="28"/>
          <w:lang w:val="en-US"/>
        </w:rPr>
      </w:pPr>
      <w:r w:rsidRPr="002851CE">
        <w:rPr>
          <w:rFonts w:ascii="Times New Roman" w:hAnsi="Times New Roman" w:cs="Times New Roman"/>
          <w:sz w:val="28"/>
          <w:szCs w:val="28"/>
          <w:lang w:val="en-US"/>
        </w:rPr>
        <w:t>Whilst a number of grounds of appeal were raised</w:t>
      </w:r>
      <w:r w:rsidR="002851CE">
        <w:rPr>
          <w:rFonts w:ascii="Times New Roman" w:hAnsi="Times New Roman" w:cs="Times New Roman"/>
          <w:sz w:val="28"/>
          <w:szCs w:val="28"/>
          <w:lang w:val="en-US"/>
        </w:rPr>
        <w:t>, many of them fell away or were difficult to resolve because of a clear conflict of evidence,</w:t>
      </w:r>
      <w:r w:rsidRPr="002851CE">
        <w:rPr>
          <w:rFonts w:ascii="Times New Roman" w:hAnsi="Times New Roman" w:cs="Times New Roman"/>
          <w:sz w:val="28"/>
          <w:szCs w:val="28"/>
          <w:lang w:val="en-US"/>
        </w:rPr>
        <w:t xml:space="preserve"> </w:t>
      </w:r>
      <w:r w:rsidR="00DD705D">
        <w:rPr>
          <w:rFonts w:ascii="Times New Roman" w:hAnsi="Times New Roman" w:cs="Times New Roman"/>
          <w:sz w:val="28"/>
          <w:szCs w:val="28"/>
          <w:lang w:val="en-US"/>
        </w:rPr>
        <w:t xml:space="preserve">and </w:t>
      </w:r>
      <w:r w:rsidRPr="002851CE">
        <w:rPr>
          <w:rFonts w:ascii="Times New Roman" w:hAnsi="Times New Roman" w:cs="Times New Roman"/>
          <w:sz w:val="28"/>
          <w:szCs w:val="28"/>
          <w:lang w:val="en-US"/>
        </w:rPr>
        <w:t xml:space="preserve">it seems to the </w:t>
      </w:r>
      <w:r w:rsidR="00B81FDE" w:rsidRPr="002851CE">
        <w:rPr>
          <w:rFonts w:ascii="Times New Roman" w:hAnsi="Times New Roman" w:cs="Times New Roman"/>
          <w:sz w:val="28"/>
          <w:szCs w:val="28"/>
          <w:lang w:val="en-US"/>
        </w:rPr>
        <w:t>Board</w:t>
      </w:r>
      <w:r w:rsidRPr="002851CE">
        <w:rPr>
          <w:rFonts w:ascii="Times New Roman" w:hAnsi="Times New Roman" w:cs="Times New Roman"/>
          <w:sz w:val="28"/>
          <w:szCs w:val="28"/>
          <w:lang w:val="en-US"/>
        </w:rPr>
        <w:t xml:space="preserve"> that the appeal can be </w:t>
      </w:r>
      <w:r w:rsidR="002851CE">
        <w:rPr>
          <w:rFonts w:ascii="Times New Roman" w:hAnsi="Times New Roman" w:cs="Times New Roman"/>
          <w:sz w:val="28"/>
          <w:szCs w:val="28"/>
          <w:lang w:val="en-US"/>
        </w:rPr>
        <w:t xml:space="preserve">dealt with </w:t>
      </w:r>
      <w:r w:rsidRPr="002851CE">
        <w:rPr>
          <w:rFonts w:ascii="Times New Roman" w:hAnsi="Times New Roman" w:cs="Times New Roman"/>
          <w:sz w:val="28"/>
          <w:szCs w:val="28"/>
          <w:lang w:val="en-US"/>
        </w:rPr>
        <w:t xml:space="preserve">on a consideration of </w:t>
      </w:r>
      <w:r w:rsidRPr="002851CE">
        <w:rPr>
          <w:rFonts w:ascii="Times New Roman" w:hAnsi="Times New Roman" w:cs="Times New Roman"/>
          <w:sz w:val="28"/>
          <w:szCs w:val="28"/>
          <w:lang w:val="en-US"/>
        </w:rPr>
        <w:lastRenderedPageBreak/>
        <w:t xml:space="preserve">two central and determinative factors, viz, </w:t>
      </w:r>
      <w:r w:rsidR="001D2B83" w:rsidRPr="002851CE">
        <w:rPr>
          <w:rFonts w:ascii="Times New Roman" w:hAnsi="Times New Roman" w:cs="Times New Roman"/>
          <w:sz w:val="28"/>
          <w:szCs w:val="28"/>
        </w:rPr>
        <w:t xml:space="preserve">whether the </w:t>
      </w:r>
      <w:r w:rsidR="002851CE">
        <w:rPr>
          <w:rFonts w:ascii="Times New Roman" w:hAnsi="Times New Roman" w:cs="Times New Roman"/>
          <w:sz w:val="28"/>
          <w:szCs w:val="28"/>
        </w:rPr>
        <w:t xml:space="preserve">two </w:t>
      </w:r>
      <w:r w:rsidR="001D2B83" w:rsidRPr="002851CE">
        <w:rPr>
          <w:rFonts w:ascii="Times New Roman" w:hAnsi="Times New Roman" w:cs="Times New Roman"/>
          <w:sz w:val="28"/>
          <w:szCs w:val="28"/>
        </w:rPr>
        <w:t>meetings of 16 February 2025 w</w:t>
      </w:r>
      <w:r w:rsidR="007E2E0D" w:rsidRPr="002851CE">
        <w:rPr>
          <w:rFonts w:ascii="Times New Roman" w:hAnsi="Times New Roman" w:cs="Times New Roman"/>
          <w:sz w:val="28"/>
          <w:szCs w:val="28"/>
        </w:rPr>
        <w:t xml:space="preserve">ere </w:t>
      </w:r>
      <w:r w:rsidR="001D2B83" w:rsidRPr="002851CE">
        <w:rPr>
          <w:rFonts w:ascii="Times New Roman" w:hAnsi="Times New Roman" w:cs="Times New Roman"/>
          <w:sz w:val="28"/>
          <w:szCs w:val="28"/>
        </w:rPr>
        <w:t>validly called</w:t>
      </w:r>
      <w:r w:rsidR="002851CE">
        <w:rPr>
          <w:rFonts w:ascii="Times New Roman" w:hAnsi="Times New Roman" w:cs="Times New Roman"/>
          <w:sz w:val="28"/>
          <w:szCs w:val="28"/>
        </w:rPr>
        <w:t xml:space="preserve">. </w:t>
      </w:r>
      <w:r w:rsidR="00A5521A" w:rsidRPr="002851CE">
        <w:rPr>
          <w:rFonts w:ascii="Times New Roman" w:hAnsi="Times New Roman" w:cs="Times New Roman"/>
          <w:sz w:val="28"/>
          <w:szCs w:val="28"/>
        </w:rPr>
        <w:t>T</w:t>
      </w:r>
      <w:r w:rsidR="00372E1C" w:rsidRPr="002851CE">
        <w:rPr>
          <w:rFonts w:ascii="Times New Roman" w:hAnsi="Times New Roman" w:cs="Times New Roman"/>
          <w:sz w:val="28"/>
          <w:szCs w:val="28"/>
        </w:rPr>
        <w:t xml:space="preserve">he </w:t>
      </w:r>
      <w:r w:rsidR="003D2A4C" w:rsidRPr="002851CE">
        <w:rPr>
          <w:rFonts w:ascii="Times New Roman" w:hAnsi="Times New Roman" w:cs="Times New Roman"/>
          <w:sz w:val="28"/>
          <w:szCs w:val="28"/>
        </w:rPr>
        <w:t>Board</w:t>
      </w:r>
      <w:r w:rsidR="00372E1C" w:rsidRPr="002851CE">
        <w:rPr>
          <w:rFonts w:ascii="Times New Roman" w:hAnsi="Times New Roman" w:cs="Times New Roman"/>
          <w:sz w:val="28"/>
          <w:szCs w:val="28"/>
        </w:rPr>
        <w:t xml:space="preserve"> considers that issues that arise for determination are:</w:t>
      </w:r>
    </w:p>
    <w:p w14:paraId="75DD6DE1" w14:textId="2623BCA4" w:rsidR="00372E1C" w:rsidRDefault="00372E1C" w:rsidP="00474CD4">
      <w:pPr>
        <w:pStyle w:val="ListParagraph"/>
        <w:numPr>
          <w:ilvl w:val="0"/>
          <w:numId w:val="7"/>
        </w:numPr>
        <w:spacing w:line="480" w:lineRule="auto"/>
        <w:jc w:val="both"/>
        <w:rPr>
          <w:rFonts w:ascii="Times New Roman" w:hAnsi="Times New Roman" w:cs="Times New Roman"/>
          <w:sz w:val="28"/>
          <w:szCs w:val="28"/>
        </w:rPr>
      </w:pPr>
      <w:r w:rsidRPr="00474CD4">
        <w:rPr>
          <w:rFonts w:ascii="Times New Roman" w:hAnsi="Times New Roman" w:cs="Times New Roman"/>
          <w:sz w:val="28"/>
          <w:szCs w:val="28"/>
        </w:rPr>
        <w:t xml:space="preserve">Whether reasonable notice was given to the Party </w:t>
      </w:r>
      <w:r w:rsidR="001D2B83" w:rsidRPr="00474CD4">
        <w:rPr>
          <w:rFonts w:ascii="Times New Roman" w:hAnsi="Times New Roman" w:cs="Times New Roman"/>
          <w:sz w:val="28"/>
          <w:szCs w:val="28"/>
        </w:rPr>
        <w:t xml:space="preserve">executive and separately to the </w:t>
      </w:r>
      <w:r w:rsidRPr="00474CD4">
        <w:rPr>
          <w:rFonts w:ascii="Times New Roman" w:hAnsi="Times New Roman" w:cs="Times New Roman"/>
          <w:sz w:val="28"/>
          <w:szCs w:val="28"/>
        </w:rPr>
        <w:t xml:space="preserve">membership, of the </w:t>
      </w:r>
      <w:r w:rsidR="001D2B83" w:rsidRPr="00474CD4">
        <w:rPr>
          <w:rFonts w:ascii="Times New Roman" w:hAnsi="Times New Roman" w:cs="Times New Roman"/>
          <w:sz w:val="28"/>
          <w:szCs w:val="28"/>
        </w:rPr>
        <w:t xml:space="preserve">intention to hold the </w:t>
      </w:r>
      <w:r w:rsidR="007E2E0D" w:rsidRPr="00474CD4">
        <w:rPr>
          <w:rFonts w:ascii="Times New Roman" w:hAnsi="Times New Roman" w:cs="Times New Roman"/>
          <w:sz w:val="28"/>
          <w:szCs w:val="28"/>
        </w:rPr>
        <w:t xml:space="preserve">two separate </w:t>
      </w:r>
      <w:r w:rsidR="001D2B83" w:rsidRPr="00474CD4">
        <w:rPr>
          <w:rFonts w:ascii="Times New Roman" w:hAnsi="Times New Roman" w:cs="Times New Roman"/>
          <w:sz w:val="28"/>
          <w:szCs w:val="28"/>
        </w:rPr>
        <w:t>meeting</w:t>
      </w:r>
      <w:r w:rsidR="007E2E0D" w:rsidRPr="00474CD4">
        <w:rPr>
          <w:rFonts w:ascii="Times New Roman" w:hAnsi="Times New Roman" w:cs="Times New Roman"/>
          <w:sz w:val="28"/>
          <w:szCs w:val="28"/>
        </w:rPr>
        <w:t>s</w:t>
      </w:r>
      <w:r w:rsidR="002851CE" w:rsidRPr="00474CD4">
        <w:rPr>
          <w:rFonts w:ascii="Times New Roman" w:hAnsi="Times New Roman" w:cs="Times New Roman"/>
          <w:sz w:val="28"/>
          <w:szCs w:val="28"/>
        </w:rPr>
        <w:t>;</w:t>
      </w:r>
    </w:p>
    <w:p w14:paraId="5030A8CA" w14:textId="08A8F409" w:rsidR="00372E1C" w:rsidRPr="00474CD4" w:rsidRDefault="00372E1C" w:rsidP="00474CD4">
      <w:pPr>
        <w:pStyle w:val="ListParagraph"/>
        <w:numPr>
          <w:ilvl w:val="0"/>
          <w:numId w:val="7"/>
        </w:numPr>
        <w:spacing w:line="480" w:lineRule="auto"/>
        <w:jc w:val="both"/>
        <w:rPr>
          <w:rFonts w:ascii="Times New Roman" w:hAnsi="Times New Roman" w:cs="Times New Roman"/>
          <w:sz w:val="28"/>
          <w:szCs w:val="28"/>
          <w:lang w:val="en-US"/>
        </w:rPr>
      </w:pPr>
      <w:r w:rsidRPr="00474CD4">
        <w:rPr>
          <w:rFonts w:ascii="Times New Roman" w:hAnsi="Times New Roman" w:cs="Times New Roman"/>
          <w:sz w:val="28"/>
          <w:szCs w:val="28"/>
        </w:rPr>
        <w:t xml:space="preserve">Whether reasonable notice was given of the subject matter of the </w:t>
      </w:r>
      <w:r w:rsidR="007E2E0D" w:rsidRPr="00474CD4">
        <w:rPr>
          <w:rFonts w:ascii="Times New Roman" w:hAnsi="Times New Roman" w:cs="Times New Roman"/>
          <w:sz w:val="28"/>
          <w:szCs w:val="28"/>
        </w:rPr>
        <w:t xml:space="preserve">two </w:t>
      </w:r>
      <w:r w:rsidRPr="00474CD4">
        <w:rPr>
          <w:rFonts w:ascii="Times New Roman" w:hAnsi="Times New Roman" w:cs="Times New Roman"/>
          <w:sz w:val="28"/>
          <w:szCs w:val="28"/>
        </w:rPr>
        <w:t>meeting</w:t>
      </w:r>
      <w:r w:rsidR="007E2E0D" w:rsidRPr="00474CD4">
        <w:rPr>
          <w:rFonts w:ascii="Times New Roman" w:hAnsi="Times New Roman" w:cs="Times New Roman"/>
          <w:sz w:val="28"/>
          <w:szCs w:val="28"/>
        </w:rPr>
        <w:t>s</w:t>
      </w:r>
      <w:r w:rsidRPr="00474CD4">
        <w:rPr>
          <w:rFonts w:ascii="Times New Roman" w:hAnsi="Times New Roman" w:cs="Times New Roman"/>
          <w:sz w:val="28"/>
          <w:szCs w:val="28"/>
        </w:rPr>
        <w:t xml:space="preserve">. </w:t>
      </w:r>
    </w:p>
    <w:p w14:paraId="78AFCA90" w14:textId="77777777" w:rsidR="006862BE" w:rsidRDefault="006862BE" w:rsidP="008F1A63">
      <w:pPr>
        <w:spacing w:line="480" w:lineRule="auto"/>
        <w:jc w:val="both"/>
        <w:rPr>
          <w:rFonts w:ascii="Times New Roman" w:hAnsi="Times New Roman" w:cs="Times New Roman"/>
          <w:b/>
          <w:bCs/>
          <w:sz w:val="28"/>
          <w:szCs w:val="28"/>
        </w:rPr>
      </w:pPr>
    </w:p>
    <w:p w14:paraId="75C82280" w14:textId="3C0721FD" w:rsidR="00372E1C" w:rsidRPr="002851CE" w:rsidRDefault="00372E1C" w:rsidP="002851CE">
      <w:pPr>
        <w:spacing w:line="480" w:lineRule="auto"/>
        <w:ind w:left="425"/>
        <w:jc w:val="both"/>
        <w:rPr>
          <w:rFonts w:ascii="Times New Roman" w:hAnsi="Times New Roman" w:cs="Times New Roman"/>
          <w:sz w:val="28"/>
          <w:szCs w:val="28"/>
          <w:lang w:val="en-US"/>
        </w:rPr>
      </w:pPr>
      <w:r w:rsidRPr="002851CE">
        <w:rPr>
          <w:rFonts w:ascii="Times New Roman" w:hAnsi="Times New Roman" w:cs="Times New Roman"/>
          <w:b/>
          <w:bCs/>
          <w:sz w:val="28"/>
          <w:szCs w:val="28"/>
        </w:rPr>
        <w:t xml:space="preserve">The law relating to unincorporated associations </w:t>
      </w:r>
    </w:p>
    <w:p w14:paraId="19E06F87" w14:textId="7E0B4227" w:rsidR="00372E1C" w:rsidRPr="00F67E59" w:rsidRDefault="00372E1C" w:rsidP="002851CE">
      <w:pPr>
        <w:pStyle w:val="ListParagraph"/>
        <w:numPr>
          <w:ilvl w:val="0"/>
          <w:numId w:val="1"/>
        </w:numPr>
        <w:spacing w:line="480" w:lineRule="auto"/>
        <w:jc w:val="both"/>
        <w:rPr>
          <w:rFonts w:ascii="Times New Roman" w:hAnsi="Times New Roman" w:cs="Times New Roman"/>
          <w:sz w:val="28"/>
          <w:szCs w:val="28"/>
          <w:lang w:val="en-US"/>
        </w:rPr>
      </w:pPr>
      <w:r w:rsidRPr="002851CE">
        <w:rPr>
          <w:rFonts w:ascii="Times New Roman" w:hAnsi="Times New Roman" w:cs="Times New Roman"/>
          <w:sz w:val="28"/>
          <w:szCs w:val="28"/>
        </w:rPr>
        <w:t xml:space="preserve">A political party is an unincorporated association, subject to some statutory regulation. An unincorporated association is based on a mutual contract between the parties, as explained by the Supreme Court in </w:t>
      </w:r>
      <w:r w:rsidRPr="002851CE">
        <w:rPr>
          <w:rFonts w:ascii="Times New Roman" w:hAnsi="Times New Roman" w:cs="Times New Roman"/>
          <w:i/>
          <w:iCs/>
          <w:sz w:val="28"/>
          <w:szCs w:val="28"/>
        </w:rPr>
        <w:t>Dunne v. Mahon</w:t>
      </w:r>
      <w:r>
        <w:rPr>
          <w:rStyle w:val="FootnoteReference"/>
          <w:rFonts w:ascii="Times New Roman" w:hAnsi="Times New Roman" w:cs="Times New Roman"/>
          <w:i/>
          <w:iCs/>
        </w:rPr>
        <w:footnoteReference w:id="2"/>
      </w:r>
      <w:r w:rsidR="00474CD4">
        <w:rPr>
          <w:rFonts w:ascii="Times New Roman" w:hAnsi="Times New Roman" w:cs="Times New Roman"/>
          <w:i/>
          <w:iCs/>
          <w:sz w:val="28"/>
          <w:szCs w:val="28"/>
        </w:rPr>
        <w:t>.</w:t>
      </w:r>
    </w:p>
    <w:p w14:paraId="5C0029F7" w14:textId="77777777" w:rsidR="00F67E59" w:rsidRPr="00474CD4" w:rsidRDefault="00F67E59" w:rsidP="00F67E59">
      <w:pPr>
        <w:pStyle w:val="ListParagraph"/>
        <w:spacing w:line="480" w:lineRule="auto"/>
        <w:ind w:left="785"/>
        <w:jc w:val="both"/>
        <w:rPr>
          <w:rFonts w:ascii="Times New Roman" w:hAnsi="Times New Roman" w:cs="Times New Roman"/>
          <w:sz w:val="28"/>
          <w:szCs w:val="28"/>
          <w:lang w:val="en-US"/>
        </w:rPr>
      </w:pPr>
    </w:p>
    <w:p w14:paraId="31F0AAD0" w14:textId="77777777" w:rsidR="00372E1C" w:rsidRPr="00474CD4" w:rsidRDefault="00372E1C" w:rsidP="00474CD4">
      <w:pPr>
        <w:pStyle w:val="ListParagraph"/>
        <w:numPr>
          <w:ilvl w:val="0"/>
          <w:numId w:val="1"/>
        </w:numPr>
        <w:spacing w:line="480" w:lineRule="auto"/>
        <w:jc w:val="both"/>
        <w:rPr>
          <w:rFonts w:ascii="Times New Roman" w:hAnsi="Times New Roman" w:cs="Times New Roman"/>
          <w:sz w:val="28"/>
          <w:szCs w:val="28"/>
          <w:lang w:val="en-US"/>
        </w:rPr>
      </w:pPr>
      <w:r w:rsidRPr="00474CD4">
        <w:rPr>
          <w:rFonts w:ascii="Times New Roman" w:hAnsi="Times New Roman" w:cs="Times New Roman"/>
          <w:sz w:val="28"/>
          <w:szCs w:val="28"/>
        </w:rPr>
        <w:t xml:space="preserve">One of the cases cited by the Supreme Court in </w:t>
      </w:r>
      <w:r w:rsidRPr="00474CD4">
        <w:rPr>
          <w:rFonts w:ascii="Times New Roman" w:hAnsi="Times New Roman" w:cs="Times New Roman"/>
          <w:i/>
          <w:sz w:val="28"/>
          <w:szCs w:val="28"/>
        </w:rPr>
        <w:t>Dunne v Mahon</w:t>
      </w:r>
      <w:r w:rsidRPr="00474CD4">
        <w:rPr>
          <w:rFonts w:ascii="Times New Roman" w:hAnsi="Times New Roman" w:cs="Times New Roman"/>
          <w:sz w:val="28"/>
          <w:szCs w:val="28"/>
        </w:rPr>
        <w:t xml:space="preserve">, in support of the long-established definition of an unincorporated association, was the 1981 decision of the Court of Appeal of England and Wales in </w:t>
      </w:r>
      <w:r w:rsidRPr="00474CD4">
        <w:rPr>
          <w:rFonts w:ascii="Times New Roman" w:hAnsi="Times New Roman" w:cs="Times New Roman"/>
          <w:i/>
          <w:sz w:val="28"/>
          <w:szCs w:val="28"/>
        </w:rPr>
        <w:lastRenderedPageBreak/>
        <w:t>Conservative and Unionist Central Office v Burrell.</w:t>
      </w:r>
      <w:r w:rsidRPr="001B52EC">
        <w:rPr>
          <w:rStyle w:val="FootnoteReference"/>
          <w:rFonts w:ascii="Times New Roman" w:hAnsi="Times New Roman" w:cs="Times New Roman"/>
        </w:rPr>
        <w:footnoteReference w:id="3"/>
      </w:r>
      <w:r w:rsidRPr="00474CD4">
        <w:rPr>
          <w:rFonts w:ascii="Times New Roman" w:hAnsi="Times New Roman" w:cs="Times New Roman"/>
          <w:sz w:val="28"/>
          <w:szCs w:val="28"/>
        </w:rPr>
        <w:t xml:space="preserve"> Lawton LJ, stated that an unincorporated body consists of:</w:t>
      </w:r>
      <w:r w:rsidRPr="001B52EC">
        <w:rPr>
          <w:rStyle w:val="FootnoteReference"/>
          <w:rFonts w:ascii="Times New Roman" w:hAnsi="Times New Roman" w:cs="Times New Roman"/>
        </w:rPr>
        <w:footnoteReference w:id="4"/>
      </w:r>
    </w:p>
    <w:p w14:paraId="3855F9DF" w14:textId="54A6BD1C" w:rsidR="00372E1C" w:rsidRDefault="00372E1C" w:rsidP="00474CD4">
      <w:pPr>
        <w:pStyle w:val="ListParagraph"/>
        <w:spacing w:line="480" w:lineRule="auto"/>
        <w:ind w:left="1440"/>
        <w:jc w:val="both"/>
        <w:rPr>
          <w:rFonts w:ascii="Times New Roman" w:hAnsi="Times New Roman" w:cs="Times New Roman"/>
          <w:i/>
          <w:iCs/>
          <w:sz w:val="28"/>
          <w:szCs w:val="28"/>
        </w:rPr>
      </w:pPr>
      <w:r w:rsidRPr="00474CD4">
        <w:rPr>
          <w:rFonts w:cstheme="minorHAnsi"/>
          <w:sz w:val="24"/>
          <w:szCs w:val="24"/>
        </w:rPr>
        <w:t>“</w:t>
      </w:r>
      <w:r w:rsidRPr="00474CD4">
        <w:rPr>
          <w:rFonts w:ascii="Times New Roman" w:hAnsi="Times New Roman" w:cs="Times New Roman"/>
          <w:i/>
          <w:iCs/>
          <w:sz w:val="28"/>
          <w:szCs w:val="28"/>
        </w:rPr>
        <w:t>two or more persons bound together for one or more common purposes, not being business purposes, by mutual undertakings each having mutual duties and obligations, in an organisation which has rules which identify in whom control of it and its funds rests and on what terms and which can be joined or left at will.”</w:t>
      </w:r>
    </w:p>
    <w:p w14:paraId="5880DE06" w14:textId="77777777" w:rsidR="00F67E59" w:rsidRPr="00474CD4" w:rsidRDefault="00F67E59" w:rsidP="00474CD4">
      <w:pPr>
        <w:pStyle w:val="ListParagraph"/>
        <w:spacing w:line="480" w:lineRule="auto"/>
        <w:ind w:left="1440"/>
        <w:jc w:val="both"/>
        <w:rPr>
          <w:rFonts w:ascii="Times New Roman" w:hAnsi="Times New Roman" w:cs="Times New Roman"/>
          <w:sz w:val="28"/>
          <w:szCs w:val="28"/>
          <w:lang w:val="en-US"/>
        </w:rPr>
      </w:pPr>
    </w:p>
    <w:p w14:paraId="555FBA73" w14:textId="34CC78A3" w:rsidR="00372E1C" w:rsidRPr="00474CD4" w:rsidRDefault="004E6A07" w:rsidP="00474CD4">
      <w:pPr>
        <w:pStyle w:val="ListParagraph"/>
        <w:numPr>
          <w:ilvl w:val="0"/>
          <w:numId w:val="1"/>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372E1C" w:rsidRPr="00474CD4">
        <w:rPr>
          <w:rFonts w:ascii="Times New Roman" w:hAnsi="Times New Roman" w:cs="Times New Roman"/>
          <w:sz w:val="28"/>
          <w:szCs w:val="28"/>
        </w:rPr>
        <w:t xml:space="preserve">Because of the contractual foundation on which an unincorporated association is established and its business conducted, the members of an organisation have the right to participate in its decision-making processes, and the officers of the association have an obligation as fiduciaries to facilitate their right to so participate.  The officers of the association act in good faith, avoid conflict of interest and are treated as having fiduciary obligations akin to those of trustees. This was analysed in the </w:t>
      </w:r>
      <w:r w:rsidR="00372E1C" w:rsidRPr="00474CD4">
        <w:rPr>
          <w:rFonts w:ascii="Times New Roman" w:hAnsi="Times New Roman" w:cs="Times New Roman"/>
          <w:i/>
          <w:iCs/>
          <w:sz w:val="28"/>
          <w:szCs w:val="28"/>
        </w:rPr>
        <w:t>Sinn Fein Funds</w:t>
      </w:r>
      <w:r w:rsidR="00372E1C" w:rsidRPr="00474CD4">
        <w:rPr>
          <w:rFonts w:ascii="Times New Roman" w:hAnsi="Times New Roman" w:cs="Times New Roman"/>
          <w:sz w:val="28"/>
          <w:szCs w:val="28"/>
        </w:rPr>
        <w:t xml:space="preserve"> case which is further considered below.</w:t>
      </w:r>
    </w:p>
    <w:p w14:paraId="174B4E94" w14:textId="5652401F" w:rsidR="00F67E59" w:rsidRDefault="00F67E59" w:rsidP="008F1A63">
      <w:pPr>
        <w:spacing w:line="480" w:lineRule="auto"/>
        <w:jc w:val="both"/>
        <w:rPr>
          <w:rFonts w:ascii="Times New Roman" w:hAnsi="Times New Roman" w:cs="Times New Roman"/>
          <w:b/>
          <w:bCs/>
          <w:sz w:val="28"/>
          <w:szCs w:val="28"/>
        </w:rPr>
      </w:pPr>
    </w:p>
    <w:p w14:paraId="51AF0497" w14:textId="21AD7AC3" w:rsidR="00721F35" w:rsidRPr="00474CD4" w:rsidRDefault="00721F35" w:rsidP="00474CD4">
      <w:pPr>
        <w:spacing w:line="480" w:lineRule="auto"/>
        <w:ind w:left="425"/>
        <w:jc w:val="both"/>
        <w:rPr>
          <w:rFonts w:ascii="Times New Roman" w:hAnsi="Times New Roman" w:cs="Times New Roman"/>
          <w:sz w:val="28"/>
          <w:szCs w:val="28"/>
          <w:lang w:val="en-US"/>
        </w:rPr>
      </w:pPr>
      <w:r w:rsidRPr="00474CD4">
        <w:rPr>
          <w:rFonts w:ascii="Times New Roman" w:hAnsi="Times New Roman" w:cs="Times New Roman"/>
          <w:b/>
          <w:bCs/>
          <w:sz w:val="28"/>
          <w:szCs w:val="28"/>
        </w:rPr>
        <w:t xml:space="preserve">The </w:t>
      </w:r>
      <w:r w:rsidR="00EA2A50" w:rsidRPr="00474CD4">
        <w:rPr>
          <w:rFonts w:ascii="Times New Roman" w:hAnsi="Times New Roman" w:cs="Times New Roman"/>
          <w:b/>
          <w:bCs/>
          <w:sz w:val="28"/>
          <w:szCs w:val="28"/>
        </w:rPr>
        <w:t xml:space="preserve">meeting of the executive committee: </w:t>
      </w:r>
      <w:r w:rsidRPr="00474CD4">
        <w:rPr>
          <w:rFonts w:ascii="Times New Roman" w:hAnsi="Times New Roman" w:cs="Times New Roman"/>
          <w:b/>
          <w:bCs/>
          <w:sz w:val="28"/>
          <w:szCs w:val="28"/>
        </w:rPr>
        <w:t>was notice adequate?</w:t>
      </w:r>
    </w:p>
    <w:p w14:paraId="424FF31E" w14:textId="7EF2DDFE" w:rsidR="00721F35" w:rsidRPr="00F67E59" w:rsidRDefault="00721F35" w:rsidP="00474CD4">
      <w:pPr>
        <w:pStyle w:val="ListParagraph"/>
        <w:numPr>
          <w:ilvl w:val="0"/>
          <w:numId w:val="1"/>
        </w:numPr>
        <w:spacing w:line="480" w:lineRule="auto"/>
        <w:jc w:val="both"/>
        <w:rPr>
          <w:rFonts w:ascii="Times New Roman" w:hAnsi="Times New Roman" w:cs="Times New Roman"/>
          <w:sz w:val="28"/>
          <w:szCs w:val="28"/>
          <w:lang w:val="en-US"/>
        </w:rPr>
      </w:pPr>
      <w:r w:rsidRPr="00474CD4">
        <w:rPr>
          <w:rFonts w:ascii="Times New Roman" w:hAnsi="Times New Roman" w:cs="Times New Roman"/>
          <w:sz w:val="28"/>
          <w:szCs w:val="28"/>
        </w:rPr>
        <w:lastRenderedPageBreak/>
        <w:t>The constitution of the Party does not prescribe any notice period or procedure for notification of a meeting. Thus, one looks to the general law of unincorporated associations. The general law does not impose specific minimum requirements concerning the notice to be given in advance of holding a meeting</w:t>
      </w:r>
      <w:r w:rsidR="00E9337B">
        <w:rPr>
          <w:rFonts w:ascii="Times New Roman" w:hAnsi="Times New Roman" w:cs="Times New Roman"/>
          <w:sz w:val="28"/>
          <w:szCs w:val="28"/>
        </w:rPr>
        <w:t>.</w:t>
      </w:r>
      <w:r w:rsidRPr="00474CD4">
        <w:rPr>
          <w:rFonts w:ascii="Times New Roman" w:hAnsi="Times New Roman" w:cs="Times New Roman"/>
          <w:sz w:val="28"/>
          <w:szCs w:val="28"/>
        </w:rPr>
        <w:t xml:space="preserve"> Instead, the requirement is that “reasonable notice” must be given. </w:t>
      </w:r>
    </w:p>
    <w:p w14:paraId="3A0909BF" w14:textId="77777777" w:rsidR="00F67E59" w:rsidRPr="00F67E59" w:rsidRDefault="00F67E59" w:rsidP="00F67E59">
      <w:pPr>
        <w:pStyle w:val="ListParagraph"/>
        <w:spacing w:line="480" w:lineRule="auto"/>
        <w:ind w:left="785"/>
        <w:jc w:val="both"/>
        <w:rPr>
          <w:rFonts w:ascii="Times New Roman" w:hAnsi="Times New Roman" w:cs="Times New Roman"/>
          <w:sz w:val="28"/>
          <w:szCs w:val="28"/>
          <w:lang w:val="en-US"/>
        </w:rPr>
      </w:pPr>
    </w:p>
    <w:p w14:paraId="13CB54E7" w14:textId="0960EB2D" w:rsidR="00F67E59" w:rsidRPr="00DB235E" w:rsidRDefault="00721F35" w:rsidP="00F67E59">
      <w:pPr>
        <w:pStyle w:val="ListParagraph"/>
        <w:numPr>
          <w:ilvl w:val="0"/>
          <w:numId w:val="1"/>
        </w:numPr>
        <w:spacing w:line="480" w:lineRule="auto"/>
        <w:jc w:val="both"/>
        <w:rPr>
          <w:rFonts w:ascii="Times New Roman" w:hAnsi="Times New Roman" w:cs="Times New Roman"/>
          <w:sz w:val="28"/>
          <w:szCs w:val="28"/>
          <w:lang w:val="en-US"/>
        </w:rPr>
      </w:pPr>
      <w:r w:rsidRPr="00F67E59">
        <w:rPr>
          <w:rFonts w:ascii="Times New Roman" w:hAnsi="Times New Roman" w:cs="Times New Roman"/>
          <w:sz w:val="28"/>
          <w:szCs w:val="28"/>
        </w:rPr>
        <w:t>Irish case law draws heavily from the analysis of the courts of England and Wales in support of this proposition.</w:t>
      </w:r>
    </w:p>
    <w:p w14:paraId="0BD59EB7" w14:textId="77777777" w:rsidR="00DB235E" w:rsidRPr="00DB235E" w:rsidRDefault="00DB235E" w:rsidP="00DB235E">
      <w:pPr>
        <w:pStyle w:val="ListParagraph"/>
        <w:rPr>
          <w:rFonts w:ascii="Times New Roman" w:hAnsi="Times New Roman" w:cs="Times New Roman"/>
          <w:sz w:val="28"/>
          <w:szCs w:val="28"/>
          <w:lang w:val="en-US"/>
        </w:rPr>
      </w:pPr>
    </w:p>
    <w:p w14:paraId="33A2C9CC" w14:textId="538388D2" w:rsidR="00DB235E" w:rsidRPr="00F67E59" w:rsidRDefault="00DB235E" w:rsidP="00DB235E">
      <w:pPr>
        <w:pStyle w:val="ListParagraph"/>
        <w:numPr>
          <w:ilvl w:val="0"/>
          <w:numId w:val="1"/>
        </w:numPr>
        <w:spacing w:line="480" w:lineRule="auto"/>
        <w:jc w:val="both"/>
        <w:rPr>
          <w:rFonts w:ascii="Times New Roman" w:hAnsi="Times New Roman" w:cs="Times New Roman"/>
          <w:sz w:val="28"/>
          <w:szCs w:val="28"/>
          <w:lang w:val="en-US"/>
        </w:rPr>
      </w:pPr>
      <w:r w:rsidRPr="00F67E59">
        <w:rPr>
          <w:rFonts w:ascii="Times New Roman" w:hAnsi="Times New Roman" w:cs="Times New Roman"/>
          <w:sz w:val="28"/>
          <w:szCs w:val="28"/>
        </w:rPr>
        <w:t xml:space="preserve">The different factors in the test for determining whether reasonable notice was given were discussed by the High Court of England and Wales (Megarry V-C) in </w:t>
      </w:r>
      <w:r w:rsidRPr="00F67E59">
        <w:rPr>
          <w:rFonts w:ascii="Times New Roman" w:hAnsi="Times New Roman" w:cs="Times New Roman"/>
          <w:i/>
          <w:sz w:val="28"/>
          <w:szCs w:val="28"/>
        </w:rPr>
        <w:t>Re GKN Sports Club</w:t>
      </w:r>
      <w:r w:rsidRPr="00F67E59">
        <w:rPr>
          <w:rFonts w:ascii="Times New Roman" w:hAnsi="Times New Roman" w:cs="Times New Roman"/>
          <w:sz w:val="28"/>
          <w:szCs w:val="28"/>
        </w:rPr>
        <w:t>.</w:t>
      </w:r>
      <w:r w:rsidRPr="0001132A">
        <w:rPr>
          <w:vertAlign w:val="superscript"/>
        </w:rPr>
        <w:footnoteReference w:id="5"/>
      </w:r>
      <w:r w:rsidRPr="00F67E59">
        <w:rPr>
          <w:rFonts w:ascii="Times New Roman" w:hAnsi="Times New Roman" w:cs="Times New Roman"/>
          <w:sz w:val="28"/>
          <w:szCs w:val="28"/>
        </w:rPr>
        <w:t xml:space="preserve"> The</w:t>
      </w:r>
      <w:r w:rsidR="00416FB6">
        <w:rPr>
          <w:rFonts w:ascii="Times New Roman" w:hAnsi="Times New Roman" w:cs="Times New Roman"/>
          <w:sz w:val="28"/>
          <w:szCs w:val="28"/>
        </w:rPr>
        <w:t>se</w:t>
      </w:r>
      <w:r w:rsidRPr="00F67E59">
        <w:rPr>
          <w:rFonts w:ascii="Times New Roman" w:hAnsi="Times New Roman" w:cs="Times New Roman"/>
          <w:sz w:val="28"/>
          <w:szCs w:val="28"/>
        </w:rPr>
        <w:t xml:space="preserve"> factors are to be analysed objectively and not judged on subjective motive or understanding.  In summary, what is “reasonable” depends on a number of factors, including the significance of what is being considered, the urgency of the matters to be resolved and previous procedures or practices of the association, and must comply with the constitutional right to fair procedures.</w:t>
      </w:r>
      <w:r w:rsidRPr="00211691">
        <w:rPr>
          <w:rStyle w:val="FootnoteReference"/>
          <w:rFonts w:ascii="Times New Roman" w:hAnsi="Times New Roman" w:cs="Times New Roman"/>
        </w:rPr>
        <w:footnoteReference w:id="6"/>
      </w:r>
      <w:r w:rsidRPr="00F67E59">
        <w:rPr>
          <w:rFonts w:ascii="Times New Roman" w:hAnsi="Times New Roman" w:cs="Times New Roman"/>
          <w:sz w:val="28"/>
          <w:szCs w:val="28"/>
        </w:rPr>
        <w:t xml:space="preserve"> Some of </w:t>
      </w:r>
      <w:r w:rsidRPr="00F67E59">
        <w:rPr>
          <w:rFonts w:ascii="Times New Roman" w:hAnsi="Times New Roman" w:cs="Times New Roman"/>
          <w:sz w:val="28"/>
          <w:szCs w:val="28"/>
        </w:rPr>
        <w:lastRenderedPageBreak/>
        <w:t xml:space="preserve">these factors are relevant in the present appeal, as will appear later in this decision. </w:t>
      </w:r>
    </w:p>
    <w:p w14:paraId="07246C75" w14:textId="77777777" w:rsidR="00DB235E" w:rsidRPr="00F67E59" w:rsidRDefault="00DB235E" w:rsidP="00DB235E">
      <w:pPr>
        <w:pStyle w:val="ListParagraph"/>
        <w:rPr>
          <w:rFonts w:ascii="Times New Roman" w:hAnsi="Times New Roman" w:cs="Times New Roman"/>
          <w:sz w:val="28"/>
          <w:szCs w:val="28"/>
          <w:lang w:val="en-US"/>
        </w:rPr>
      </w:pPr>
    </w:p>
    <w:p w14:paraId="52F16ECA" w14:textId="416DEAEC" w:rsidR="00721F35" w:rsidRPr="00DB235E" w:rsidRDefault="00721F35" w:rsidP="00DB235E">
      <w:pPr>
        <w:pStyle w:val="ListParagraph"/>
        <w:numPr>
          <w:ilvl w:val="0"/>
          <w:numId w:val="1"/>
        </w:numPr>
        <w:spacing w:line="480" w:lineRule="auto"/>
        <w:jc w:val="both"/>
        <w:rPr>
          <w:rFonts w:ascii="Times New Roman" w:hAnsi="Times New Roman" w:cs="Times New Roman"/>
          <w:sz w:val="28"/>
          <w:szCs w:val="28"/>
          <w:lang w:val="en-US"/>
        </w:rPr>
      </w:pPr>
      <w:r w:rsidRPr="00DB235E">
        <w:rPr>
          <w:rFonts w:ascii="Times New Roman" w:hAnsi="Times New Roman" w:cs="Times New Roman"/>
          <w:sz w:val="28"/>
          <w:szCs w:val="28"/>
        </w:rPr>
        <w:t xml:space="preserve">In </w:t>
      </w:r>
      <w:r w:rsidRPr="00DB235E">
        <w:rPr>
          <w:rFonts w:ascii="Times New Roman" w:hAnsi="Times New Roman" w:cs="Times New Roman"/>
          <w:i/>
          <w:sz w:val="28"/>
          <w:szCs w:val="28"/>
        </w:rPr>
        <w:t>John v Rees</w:t>
      </w:r>
      <w:r>
        <w:rPr>
          <w:rStyle w:val="FootnoteReference"/>
          <w:rFonts w:ascii="Times New Roman" w:hAnsi="Times New Roman" w:cs="Times New Roman"/>
          <w:i/>
        </w:rPr>
        <w:footnoteReference w:id="7"/>
      </w:r>
      <w:r w:rsidRPr="00DB235E">
        <w:rPr>
          <w:rFonts w:ascii="Times New Roman" w:hAnsi="Times New Roman" w:cs="Times New Roman"/>
          <w:sz w:val="28"/>
          <w:szCs w:val="28"/>
        </w:rPr>
        <w:t>, Megarry J referred to long-established case law that emphasised the need to give notice to all members of the unincorporated association, not just some members:</w:t>
      </w:r>
      <w:r w:rsidRPr="003F7E18">
        <w:rPr>
          <w:rStyle w:val="FootnoteReference"/>
          <w:rFonts w:ascii="Times New Roman" w:hAnsi="Times New Roman" w:cs="Times New Roman"/>
        </w:rPr>
        <w:footnoteReference w:id="8"/>
      </w:r>
    </w:p>
    <w:p w14:paraId="65B29718" w14:textId="463B5ECC" w:rsidR="00DB235E" w:rsidRPr="00DB235E" w:rsidRDefault="00721F35" w:rsidP="00416FB6">
      <w:pPr>
        <w:pStyle w:val="ListParagraph"/>
        <w:spacing w:line="480" w:lineRule="auto"/>
        <w:ind w:left="1440"/>
        <w:jc w:val="both"/>
        <w:rPr>
          <w:rFonts w:ascii="Times New Roman" w:hAnsi="Times New Roman" w:cs="Times New Roman"/>
          <w:i/>
          <w:iCs/>
          <w:sz w:val="28"/>
          <w:szCs w:val="28"/>
        </w:rPr>
      </w:pPr>
      <w:r w:rsidRPr="00F67E59">
        <w:rPr>
          <w:rFonts w:ascii="Times New Roman" w:hAnsi="Times New Roman" w:cs="Times New Roman"/>
          <w:i/>
          <w:iCs/>
          <w:sz w:val="28"/>
          <w:szCs w:val="28"/>
        </w:rPr>
        <w:t>“I also bear in mind the rule that, in general, a failure to give due notice of a meeting to even one member of a body who is entitled to attend invalidates the decisions of that body</w:t>
      </w:r>
      <w:r w:rsidR="00DB235E">
        <w:rPr>
          <w:rFonts w:ascii="Times New Roman" w:hAnsi="Times New Roman" w:cs="Times New Roman"/>
          <w:i/>
          <w:iCs/>
          <w:sz w:val="28"/>
          <w:szCs w:val="28"/>
        </w:rPr>
        <w:t>….</w:t>
      </w:r>
      <w:r w:rsidRPr="00F67E59">
        <w:rPr>
          <w:rFonts w:ascii="Times New Roman" w:hAnsi="Times New Roman" w:cs="Times New Roman"/>
          <w:i/>
          <w:iCs/>
          <w:sz w:val="28"/>
          <w:szCs w:val="28"/>
        </w:rPr>
        <w:t xml:space="preserve"> In the words of Lord Campbell L.C. in Smyth v. Darley, at p. 803, ‘even a unanimous election by those who did attend would be void.”</w:t>
      </w:r>
    </w:p>
    <w:p w14:paraId="58C07333" w14:textId="77777777" w:rsidR="00F67E59" w:rsidRPr="00F67E59" w:rsidRDefault="00F67E59" w:rsidP="00F67E59">
      <w:pPr>
        <w:pStyle w:val="ListParagraph"/>
        <w:spacing w:line="480" w:lineRule="auto"/>
        <w:ind w:left="785"/>
        <w:jc w:val="both"/>
        <w:rPr>
          <w:rFonts w:ascii="Times New Roman" w:hAnsi="Times New Roman" w:cs="Times New Roman"/>
          <w:sz w:val="28"/>
          <w:szCs w:val="28"/>
          <w:lang w:val="en-US"/>
        </w:rPr>
      </w:pPr>
    </w:p>
    <w:p w14:paraId="72CFB882" w14:textId="77777777" w:rsidR="00721F35" w:rsidRPr="00F67E59" w:rsidRDefault="00721F35" w:rsidP="00F67E59">
      <w:pPr>
        <w:pStyle w:val="ListParagraph"/>
        <w:numPr>
          <w:ilvl w:val="0"/>
          <w:numId w:val="1"/>
        </w:numPr>
        <w:spacing w:line="480" w:lineRule="auto"/>
        <w:jc w:val="both"/>
        <w:rPr>
          <w:rFonts w:ascii="Times New Roman" w:hAnsi="Times New Roman" w:cs="Times New Roman"/>
          <w:sz w:val="28"/>
          <w:szCs w:val="28"/>
          <w:lang w:val="en-US"/>
        </w:rPr>
      </w:pPr>
      <w:r w:rsidRPr="00F67E59">
        <w:rPr>
          <w:rFonts w:ascii="Times New Roman" w:hAnsi="Times New Roman" w:cs="Times New Roman"/>
          <w:sz w:val="28"/>
          <w:szCs w:val="28"/>
        </w:rPr>
        <w:t xml:space="preserve">Further, the organisers owed a fiduciary duty to notify all those entitled to attend.  The decision in the </w:t>
      </w:r>
      <w:r w:rsidRPr="00F67E59">
        <w:rPr>
          <w:rFonts w:ascii="Times New Roman" w:hAnsi="Times New Roman" w:cs="Times New Roman"/>
          <w:i/>
          <w:iCs/>
          <w:sz w:val="28"/>
          <w:szCs w:val="28"/>
        </w:rPr>
        <w:t>Sinn Fein’s Fund</w:t>
      </w:r>
      <w:r>
        <w:rPr>
          <w:rStyle w:val="FootnoteReference"/>
          <w:rFonts w:ascii="Times New Roman" w:hAnsi="Times New Roman" w:cs="Times New Roman"/>
          <w:i/>
          <w:iCs/>
        </w:rPr>
        <w:footnoteReference w:id="9"/>
      </w:r>
      <w:r w:rsidRPr="00F67E59">
        <w:rPr>
          <w:rFonts w:ascii="Times New Roman" w:hAnsi="Times New Roman" w:cs="Times New Roman"/>
          <w:sz w:val="28"/>
          <w:szCs w:val="28"/>
        </w:rPr>
        <w:t xml:space="preserve"> case involved a question of whether the fiduciary duty of the officers of an unincorporated association included a requirement to notify all its members of the intention to hold a meeting.  The High Court (Kingsmill Moore J) considered that not all members of the pre-1922 Sinn Féin party had been notified of the holding of the 1923 Ard Fheis of the “new” Sinn Féin party, and this supported the </w:t>
      </w:r>
      <w:r w:rsidRPr="00F67E59">
        <w:rPr>
          <w:rFonts w:ascii="Times New Roman" w:hAnsi="Times New Roman" w:cs="Times New Roman"/>
          <w:sz w:val="28"/>
          <w:szCs w:val="28"/>
        </w:rPr>
        <w:lastRenderedPageBreak/>
        <w:t>Court’s conclusion, along with other factors, that the 1923 Ard Fheis was not a valid meeting of the pre-1922 Sinn Féin party.</w:t>
      </w:r>
    </w:p>
    <w:p w14:paraId="0F170340" w14:textId="77777777" w:rsidR="00F67E59" w:rsidRPr="00F67E59" w:rsidRDefault="00F67E59" w:rsidP="00F67E59">
      <w:pPr>
        <w:pStyle w:val="ListParagraph"/>
        <w:rPr>
          <w:rFonts w:ascii="Times New Roman" w:hAnsi="Times New Roman" w:cs="Times New Roman"/>
          <w:sz w:val="28"/>
          <w:szCs w:val="28"/>
          <w:lang w:val="en-US"/>
        </w:rPr>
      </w:pPr>
    </w:p>
    <w:p w14:paraId="2821C489" w14:textId="77777777" w:rsidR="00416FB6" w:rsidRPr="00416FB6" w:rsidRDefault="00416FB6" w:rsidP="00416FB6">
      <w:pPr>
        <w:pStyle w:val="ListParagraph"/>
        <w:numPr>
          <w:ilvl w:val="0"/>
          <w:numId w:val="1"/>
        </w:numPr>
        <w:spacing w:line="480" w:lineRule="auto"/>
        <w:jc w:val="both"/>
        <w:rPr>
          <w:rFonts w:ascii="Times New Roman" w:hAnsi="Times New Roman" w:cs="Times New Roman"/>
          <w:sz w:val="28"/>
          <w:szCs w:val="28"/>
          <w:lang w:val="en-US"/>
        </w:rPr>
      </w:pPr>
      <w:r w:rsidRPr="00F67E59">
        <w:rPr>
          <w:rFonts w:ascii="Times New Roman" w:hAnsi="Times New Roman" w:cs="Times New Roman"/>
          <w:sz w:val="28"/>
          <w:szCs w:val="28"/>
        </w:rPr>
        <w:t xml:space="preserve">The test does not require attendance by all those notified: it requires that all those entitled to attend are notified.  </w:t>
      </w:r>
    </w:p>
    <w:p w14:paraId="698A547D" w14:textId="77777777" w:rsidR="00416FB6" w:rsidRPr="00416FB6" w:rsidRDefault="00416FB6" w:rsidP="00416FB6">
      <w:pPr>
        <w:pStyle w:val="ListParagraph"/>
        <w:rPr>
          <w:rFonts w:ascii="Times New Roman" w:hAnsi="Times New Roman" w:cs="Times New Roman"/>
          <w:sz w:val="28"/>
          <w:szCs w:val="28"/>
          <w:lang w:val="en-US"/>
        </w:rPr>
      </w:pPr>
    </w:p>
    <w:p w14:paraId="14325241" w14:textId="77777777" w:rsidR="00416FB6" w:rsidRPr="00F67E59" w:rsidRDefault="00416FB6" w:rsidP="00416FB6">
      <w:pPr>
        <w:pStyle w:val="ListParagraph"/>
        <w:spacing w:line="480" w:lineRule="auto"/>
        <w:ind w:left="785"/>
        <w:jc w:val="both"/>
        <w:rPr>
          <w:rFonts w:ascii="Times New Roman" w:hAnsi="Times New Roman" w:cs="Times New Roman"/>
          <w:sz w:val="28"/>
          <w:szCs w:val="28"/>
          <w:lang w:val="en-US"/>
        </w:rPr>
      </w:pPr>
    </w:p>
    <w:p w14:paraId="3FE29A53" w14:textId="4E9E4B2C" w:rsidR="002F7F0C" w:rsidRPr="00416FB6" w:rsidRDefault="000745FE" w:rsidP="002F7F0C">
      <w:pPr>
        <w:pStyle w:val="ListParagraph"/>
        <w:numPr>
          <w:ilvl w:val="0"/>
          <w:numId w:val="1"/>
        </w:numPr>
        <w:spacing w:line="480" w:lineRule="auto"/>
        <w:jc w:val="both"/>
        <w:rPr>
          <w:rFonts w:ascii="Times New Roman" w:hAnsi="Times New Roman" w:cs="Times New Roman"/>
          <w:sz w:val="28"/>
          <w:szCs w:val="28"/>
          <w:lang w:val="en-US"/>
        </w:rPr>
      </w:pPr>
      <w:r w:rsidRPr="00416FB6">
        <w:rPr>
          <w:rFonts w:ascii="Times New Roman" w:hAnsi="Times New Roman" w:cs="Times New Roman"/>
          <w:sz w:val="28"/>
          <w:szCs w:val="28"/>
          <w:lang w:val="en-US"/>
        </w:rPr>
        <w:t xml:space="preserve">Part of the </w:t>
      </w:r>
      <w:r w:rsidR="00F67E59" w:rsidRPr="00416FB6">
        <w:rPr>
          <w:rFonts w:ascii="Times New Roman" w:hAnsi="Times New Roman" w:cs="Times New Roman"/>
          <w:sz w:val="28"/>
          <w:szCs w:val="28"/>
          <w:lang w:val="en-US"/>
        </w:rPr>
        <w:t xml:space="preserve">argument </w:t>
      </w:r>
      <w:r w:rsidRPr="00416FB6">
        <w:rPr>
          <w:rFonts w:ascii="Times New Roman" w:hAnsi="Times New Roman" w:cs="Times New Roman"/>
          <w:sz w:val="28"/>
          <w:szCs w:val="28"/>
          <w:lang w:val="en-US"/>
        </w:rPr>
        <w:t xml:space="preserve">by </w:t>
      </w:r>
      <w:r w:rsidR="00AE44B9" w:rsidRPr="00416FB6">
        <w:rPr>
          <w:rFonts w:ascii="Times New Roman" w:hAnsi="Times New Roman" w:cs="Times New Roman"/>
          <w:sz w:val="28"/>
          <w:szCs w:val="28"/>
          <w:lang w:val="en-US"/>
        </w:rPr>
        <w:t>Ms.</w:t>
      </w:r>
      <w:r w:rsidRPr="00416FB6">
        <w:rPr>
          <w:rFonts w:ascii="Times New Roman" w:hAnsi="Times New Roman" w:cs="Times New Roman"/>
          <w:sz w:val="28"/>
          <w:szCs w:val="28"/>
          <w:lang w:val="en-US"/>
        </w:rPr>
        <w:t xml:space="preserve"> </w:t>
      </w:r>
      <w:r w:rsidR="00AE44B9" w:rsidRPr="00416FB6">
        <w:rPr>
          <w:rFonts w:ascii="Times New Roman" w:hAnsi="Times New Roman" w:cs="Times New Roman"/>
          <w:sz w:val="28"/>
          <w:szCs w:val="28"/>
          <w:lang w:val="en-US"/>
        </w:rPr>
        <w:t xml:space="preserve">Maguire </w:t>
      </w:r>
      <w:r w:rsidR="008F1A63" w:rsidRPr="00416FB6">
        <w:rPr>
          <w:rFonts w:ascii="Times New Roman" w:hAnsi="Times New Roman" w:cs="Times New Roman"/>
          <w:sz w:val="28"/>
          <w:szCs w:val="28"/>
          <w:lang w:val="en-US"/>
        </w:rPr>
        <w:t>is that</w:t>
      </w:r>
      <w:r w:rsidRPr="00416FB6">
        <w:rPr>
          <w:rFonts w:ascii="Times New Roman" w:hAnsi="Times New Roman" w:cs="Times New Roman"/>
          <w:sz w:val="28"/>
          <w:szCs w:val="28"/>
          <w:lang w:val="en-US"/>
        </w:rPr>
        <w:t xml:space="preserve"> there was no meeting of the executive committee prior to the meeting of the </w:t>
      </w:r>
      <w:r w:rsidR="00F67E59" w:rsidRPr="00416FB6">
        <w:rPr>
          <w:rFonts w:ascii="Times New Roman" w:hAnsi="Times New Roman" w:cs="Times New Roman"/>
          <w:sz w:val="28"/>
          <w:szCs w:val="28"/>
          <w:lang w:val="en-US"/>
        </w:rPr>
        <w:t>P</w:t>
      </w:r>
      <w:r w:rsidRPr="00416FB6">
        <w:rPr>
          <w:rFonts w:ascii="Times New Roman" w:hAnsi="Times New Roman" w:cs="Times New Roman"/>
          <w:sz w:val="28"/>
          <w:szCs w:val="28"/>
          <w:lang w:val="en-US"/>
        </w:rPr>
        <w:t>arty at which the election occurred. There is some confusion in her observations in that she argues that four of the relevant officers were not in attendance at the meeting at all, and that she at least was not notified</w:t>
      </w:r>
      <w:r w:rsidR="00F67E59" w:rsidRPr="00416FB6">
        <w:rPr>
          <w:rFonts w:ascii="Times New Roman" w:hAnsi="Times New Roman" w:cs="Times New Roman"/>
          <w:sz w:val="28"/>
          <w:szCs w:val="28"/>
          <w:lang w:val="en-US"/>
        </w:rPr>
        <w:t>.  T</w:t>
      </w:r>
      <w:r w:rsidR="00AE44B9" w:rsidRPr="00416FB6">
        <w:rPr>
          <w:rFonts w:ascii="Times New Roman" w:hAnsi="Times New Roman" w:cs="Times New Roman"/>
          <w:sz w:val="28"/>
          <w:szCs w:val="28"/>
          <w:lang w:val="en-US"/>
        </w:rPr>
        <w:t>here</w:t>
      </w:r>
      <w:r w:rsidR="004E6113" w:rsidRPr="00416FB6">
        <w:rPr>
          <w:rFonts w:ascii="Times New Roman" w:hAnsi="Times New Roman" w:cs="Times New Roman"/>
          <w:sz w:val="28"/>
          <w:szCs w:val="28"/>
          <w:lang w:val="en-US"/>
        </w:rPr>
        <w:t xml:space="preserve"> i</w:t>
      </w:r>
      <w:r w:rsidRPr="00416FB6">
        <w:rPr>
          <w:rFonts w:ascii="Times New Roman" w:hAnsi="Times New Roman" w:cs="Times New Roman"/>
          <w:sz w:val="28"/>
          <w:szCs w:val="28"/>
          <w:lang w:val="en-US"/>
        </w:rPr>
        <w:t xml:space="preserve">s also </w:t>
      </w:r>
      <w:proofErr w:type="gramStart"/>
      <w:r w:rsidRPr="00416FB6">
        <w:rPr>
          <w:rFonts w:ascii="Times New Roman" w:hAnsi="Times New Roman" w:cs="Times New Roman"/>
          <w:sz w:val="28"/>
          <w:szCs w:val="28"/>
          <w:lang w:val="en-US"/>
        </w:rPr>
        <w:t>confusion in</w:t>
      </w:r>
      <w:proofErr w:type="gramEnd"/>
      <w:r w:rsidRPr="00416FB6">
        <w:rPr>
          <w:rFonts w:ascii="Times New Roman" w:hAnsi="Times New Roman" w:cs="Times New Roman"/>
          <w:sz w:val="28"/>
          <w:szCs w:val="28"/>
          <w:lang w:val="en-US"/>
        </w:rPr>
        <w:t xml:space="preserve"> that the 61% majority required under the constitution </w:t>
      </w:r>
      <w:r w:rsidR="00F67E59" w:rsidRPr="00416FB6">
        <w:rPr>
          <w:rFonts w:ascii="Times New Roman" w:hAnsi="Times New Roman" w:cs="Times New Roman"/>
          <w:sz w:val="28"/>
          <w:szCs w:val="28"/>
          <w:lang w:val="en-US"/>
        </w:rPr>
        <w:t xml:space="preserve">to which she </w:t>
      </w:r>
      <w:proofErr w:type="gramStart"/>
      <w:r w:rsidR="00F67E59" w:rsidRPr="00416FB6">
        <w:rPr>
          <w:rFonts w:ascii="Times New Roman" w:hAnsi="Times New Roman" w:cs="Times New Roman"/>
          <w:sz w:val="28"/>
          <w:szCs w:val="28"/>
          <w:lang w:val="en-US"/>
        </w:rPr>
        <w:t>refers,</w:t>
      </w:r>
      <w:proofErr w:type="gramEnd"/>
      <w:r w:rsidR="00F67E59" w:rsidRPr="00416FB6">
        <w:rPr>
          <w:rFonts w:ascii="Times New Roman" w:hAnsi="Times New Roman" w:cs="Times New Roman"/>
          <w:sz w:val="28"/>
          <w:szCs w:val="28"/>
          <w:lang w:val="en-US"/>
        </w:rPr>
        <w:t xml:space="preserve"> </w:t>
      </w:r>
      <w:r w:rsidRPr="00416FB6">
        <w:rPr>
          <w:rFonts w:ascii="Times New Roman" w:hAnsi="Times New Roman" w:cs="Times New Roman"/>
          <w:sz w:val="28"/>
          <w:szCs w:val="28"/>
          <w:lang w:val="en-US"/>
        </w:rPr>
        <w:t xml:space="preserve">relates to the preliminary vote by the executive committee before the vote on membership goes to the </w:t>
      </w:r>
      <w:r w:rsidR="00F67E59" w:rsidRPr="00416FB6">
        <w:rPr>
          <w:rFonts w:ascii="Times New Roman" w:hAnsi="Times New Roman" w:cs="Times New Roman"/>
          <w:sz w:val="28"/>
          <w:szCs w:val="28"/>
          <w:lang w:val="en-US"/>
        </w:rPr>
        <w:t>P</w:t>
      </w:r>
      <w:r w:rsidRPr="00416FB6">
        <w:rPr>
          <w:rFonts w:ascii="Times New Roman" w:hAnsi="Times New Roman" w:cs="Times New Roman"/>
          <w:sz w:val="28"/>
          <w:szCs w:val="28"/>
          <w:lang w:val="en-US"/>
        </w:rPr>
        <w:t>arty as a whole</w:t>
      </w:r>
      <w:r w:rsidR="00416FB6">
        <w:rPr>
          <w:rFonts w:ascii="Times New Roman" w:hAnsi="Times New Roman" w:cs="Times New Roman"/>
          <w:sz w:val="28"/>
          <w:szCs w:val="28"/>
          <w:lang w:val="en-US"/>
        </w:rPr>
        <w:t>.</w:t>
      </w:r>
    </w:p>
    <w:p w14:paraId="3F0BB9C5" w14:textId="77777777" w:rsidR="002F7F0C" w:rsidRPr="008F1A63" w:rsidRDefault="002F7F0C" w:rsidP="002F7F0C">
      <w:pPr>
        <w:pStyle w:val="ListParagraph"/>
        <w:spacing w:line="480" w:lineRule="auto"/>
        <w:ind w:left="785"/>
        <w:jc w:val="both"/>
        <w:rPr>
          <w:rFonts w:ascii="Times New Roman" w:hAnsi="Times New Roman" w:cs="Times New Roman"/>
          <w:sz w:val="28"/>
          <w:szCs w:val="28"/>
          <w:lang w:val="en-US"/>
        </w:rPr>
      </w:pPr>
    </w:p>
    <w:p w14:paraId="3C2D81FB" w14:textId="6EB085F5" w:rsidR="00F62C0A" w:rsidRDefault="005E476A" w:rsidP="00F67E59">
      <w:pPr>
        <w:pStyle w:val="ListParagraph"/>
        <w:numPr>
          <w:ilvl w:val="0"/>
          <w:numId w:val="1"/>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However, one fact is clear and important. </w:t>
      </w:r>
      <w:r w:rsidR="00416FB6">
        <w:rPr>
          <w:rFonts w:ascii="Times New Roman" w:hAnsi="Times New Roman" w:cs="Times New Roman"/>
          <w:sz w:val="28"/>
          <w:szCs w:val="28"/>
          <w:lang w:val="en-US"/>
        </w:rPr>
        <w:t xml:space="preserve"> Mr. </w:t>
      </w:r>
      <w:r w:rsidR="000745FE" w:rsidRPr="00F67E59">
        <w:rPr>
          <w:rFonts w:ascii="Times New Roman" w:hAnsi="Times New Roman" w:cs="Times New Roman"/>
          <w:sz w:val="28"/>
          <w:szCs w:val="28"/>
          <w:lang w:val="en-US"/>
        </w:rPr>
        <w:t>McGovern has confirmed that his membership was cancelled without stated cause or notice on 13</w:t>
      </w:r>
      <w:r w:rsidR="00416FB6">
        <w:rPr>
          <w:rFonts w:ascii="Times New Roman" w:hAnsi="Times New Roman" w:cs="Times New Roman"/>
          <w:sz w:val="28"/>
          <w:szCs w:val="28"/>
          <w:lang w:val="en-US"/>
        </w:rPr>
        <w:t xml:space="preserve"> </w:t>
      </w:r>
      <w:r w:rsidR="000745FE" w:rsidRPr="00F67E59">
        <w:rPr>
          <w:rFonts w:ascii="Times New Roman" w:hAnsi="Times New Roman" w:cs="Times New Roman"/>
          <w:sz w:val="28"/>
          <w:szCs w:val="28"/>
          <w:lang w:val="en-US"/>
        </w:rPr>
        <w:t>February 2025 and that he did not receive notification of the meeting</w:t>
      </w:r>
      <w:r>
        <w:rPr>
          <w:rFonts w:ascii="Times New Roman" w:hAnsi="Times New Roman" w:cs="Times New Roman"/>
          <w:sz w:val="28"/>
          <w:szCs w:val="28"/>
          <w:lang w:val="en-US"/>
        </w:rPr>
        <w:t xml:space="preserve"> of the executive committee</w:t>
      </w:r>
      <w:r w:rsidR="000745FE" w:rsidRPr="00F67E59">
        <w:rPr>
          <w:rFonts w:ascii="Times New Roman" w:hAnsi="Times New Roman" w:cs="Times New Roman"/>
          <w:sz w:val="28"/>
          <w:szCs w:val="28"/>
          <w:lang w:val="en-US"/>
        </w:rPr>
        <w:t>.</w:t>
      </w:r>
      <w:r w:rsidR="00F62C0A" w:rsidRPr="00F67E59">
        <w:rPr>
          <w:rFonts w:ascii="Times New Roman" w:hAnsi="Times New Roman" w:cs="Times New Roman"/>
          <w:sz w:val="28"/>
          <w:szCs w:val="28"/>
          <w:lang w:val="en-US"/>
        </w:rPr>
        <w:t xml:space="preserve"> M</w:t>
      </w:r>
      <w:r w:rsidR="003D2A4C" w:rsidRPr="00F67E59">
        <w:rPr>
          <w:rFonts w:ascii="Times New Roman" w:hAnsi="Times New Roman" w:cs="Times New Roman"/>
          <w:sz w:val="28"/>
          <w:szCs w:val="28"/>
          <w:lang w:val="en-US"/>
        </w:rPr>
        <w:t>s.</w:t>
      </w:r>
      <w:r w:rsidR="00F62C0A" w:rsidRPr="00F67E59">
        <w:rPr>
          <w:rFonts w:ascii="Times New Roman" w:hAnsi="Times New Roman" w:cs="Times New Roman"/>
          <w:sz w:val="28"/>
          <w:szCs w:val="28"/>
          <w:lang w:val="en-US"/>
        </w:rPr>
        <w:t xml:space="preserve"> </w:t>
      </w:r>
      <w:r w:rsidR="00C6149E" w:rsidRPr="00F67E59">
        <w:rPr>
          <w:rFonts w:ascii="Times New Roman" w:hAnsi="Times New Roman" w:cs="Times New Roman"/>
          <w:sz w:val="28"/>
          <w:szCs w:val="28"/>
          <w:lang w:val="en-US"/>
        </w:rPr>
        <w:t>Herraty</w:t>
      </w:r>
      <w:r w:rsidR="00F62C0A" w:rsidRPr="00F67E59">
        <w:rPr>
          <w:rFonts w:ascii="Times New Roman" w:hAnsi="Times New Roman" w:cs="Times New Roman"/>
          <w:sz w:val="28"/>
          <w:szCs w:val="28"/>
          <w:lang w:val="en-US"/>
        </w:rPr>
        <w:t xml:space="preserve"> accepts that </w:t>
      </w:r>
      <w:r w:rsidR="00416FB6">
        <w:rPr>
          <w:rFonts w:ascii="Times New Roman" w:hAnsi="Times New Roman" w:cs="Times New Roman"/>
          <w:sz w:val="28"/>
          <w:szCs w:val="28"/>
          <w:lang w:val="en-US"/>
        </w:rPr>
        <w:t xml:space="preserve">Mr. </w:t>
      </w:r>
      <w:r w:rsidR="00F62C0A" w:rsidRPr="00F67E59">
        <w:rPr>
          <w:rFonts w:ascii="Times New Roman" w:hAnsi="Times New Roman" w:cs="Times New Roman"/>
          <w:sz w:val="28"/>
          <w:szCs w:val="28"/>
          <w:lang w:val="en-US"/>
        </w:rPr>
        <w:t xml:space="preserve">McGovern did not receive notice of the meeting and she describes this as “very </w:t>
      </w:r>
      <w:r>
        <w:rPr>
          <w:rFonts w:ascii="Times New Roman" w:hAnsi="Times New Roman" w:cs="Times New Roman"/>
          <w:sz w:val="28"/>
          <w:szCs w:val="28"/>
          <w:lang w:val="en-US"/>
        </w:rPr>
        <w:t xml:space="preserve">very </w:t>
      </w:r>
      <w:r w:rsidR="00F62C0A" w:rsidRPr="00F67E59">
        <w:rPr>
          <w:rFonts w:ascii="Times New Roman" w:hAnsi="Times New Roman" w:cs="Times New Roman"/>
          <w:sz w:val="28"/>
          <w:szCs w:val="28"/>
          <w:lang w:val="en-US"/>
        </w:rPr>
        <w:t>unfortunate”. She asserts that the absence of notice to Mr. McGovern was not “malicious”</w:t>
      </w:r>
      <w:r w:rsidR="003D2A4C" w:rsidRPr="00F67E59">
        <w:rPr>
          <w:rFonts w:ascii="Times New Roman" w:hAnsi="Times New Roman" w:cs="Times New Roman"/>
          <w:sz w:val="28"/>
          <w:szCs w:val="28"/>
          <w:lang w:val="en-US"/>
        </w:rPr>
        <w:t>, and</w:t>
      </w:r>
      <w:r w:rsidR="00F62C0A" w:rsidRPr="00F67E59">
        <w:rPr>
          <w:rFonts w:ascii="Times New Roman" w:hAnsi="Times New Roman" w:cs="Times New Roman"/>
          <w:sz w:val="28"/>
          <w:szCs w:val="28"/>
          <w:lang w:val="en-US"/>
        </w:rPr>
        <w:t xml:space="preserve"> that his son had been notified of the meeting by e-</w:t>
      </w:r>
      <w:r w:rsidR="00F62C0A" w:rsidRPr="00F67E59">
        <w:rPr>
          <w:rFonts w:ascii="Times New Roman" w:hAnsi="Times New Roman" w:cs="Times New Roman"/>
          <w:sz w:val="28"/>
          <w:szCs w:val="28"/>
          <w:lang w:val="en-US"/>
        </w:rPr>
        <w:lastRenderedPageBreak/>
        <w:t xml:space="preserve">mail. It is not clear whether Mr. </w:t>
      </w:r>
      <w:r w:rsidR="00187505" w:rsidRPr="00F67E59">
        <w:rPr>
          <w:rFonts w:ascii="Times New Roman" w:hAnsi="Times New Roman" w:cs="Times New Roman"/>
          <w:sz w:val="28"/>
          <w:szCs w:val="28"/>
          <w:lang w:val="en-US"/>
        </w:rPr>
        <w:t>McGovern’s</w:t>
      </w:r>
      <w:r w:rsidR="00F62C0A" w:rsidRPr="00F67E59">
        <w:rPr>
          <w:rFonts w:ascii="Times New Roman" w:hAnsi="Times New Roman" w:cs="Times New Roman"/>
          <w:sz w:val="28"/>
          <w:szCs w:val="28"/>
          <w:lang w:val="en-US"/>
        </w:rPr>
        <w:t xml:space="preserve"> son was a member, nor is it clear that he had authority to accept notice on behalf of his father</w:t>
      </w:r>
      <w:r w:rsidR="00187505" w:rsidRPr="00F67E59">
        <w:rPr>
          <w:rFonts w:ascii="Times New Roman" w:hAnsi="Times New Roman" w:cs="Times New Roman"/>
          <w:sz w:val="28"/>
          <w:szCs w:val="28"/>
          <w:lang w:val="en-US"/>
        </w:rPr>
        <w:t xml:space="preserve">.  </w:t>
      </w:r>
      <w:r w:rsidR="00F62C0A" w:rsidRPr="00F67E59">
        <w:rPr>
          <w:rFonts w:ascii="Times New Roman" w:hAnsi="Times New Roman" w:cs="Times New Roman"/>
          <w:sz w:val="28"/>
          <w:szCs w:val="28"/>
          <w:lang w:val="en-US"/>
        </w:rPr>
        <w:t xml:space="preserve"> </w:t>
      </w:r>
      <w:r w:rsidR="00187505" w:rsidRPr="00F67E59">
        <w:rPr>
          <w:rFonts w:ascii="Times New Roman" w:hAnsi="Times New Roman" w:cs="Times New Roman"/>
          <w:sz w:val="28"/>
          <w:szCs w:val="28"/>
          <w:lang w:val="en-US"/>
        </w:rPr>
        <w:t>N</w:t>
      </w:r>
      <w:r w:rsidR="00F62C0A" w:rsidRPr="00F67E59">
        <w:rPr>
          <w:rFonts w:ascii="Times New Roman" w:hAnsi="Times New Roman" w:cs="Times New Roman"/>
          <w:sz w:val="28"/>
          <w:szCs w:val="28"/>
          <w:lang w:val="en-US"/>
        </w:rPr>
        <w:t xml:space="preserve">o evidence is offered to support a proposition that the notice to Mr. </w:t>
      </w:r>
      <w:r w:rsidR="00187505" w:rsidRPr="00F67E59">
        <w:rPr>
          <w:rFonts w:ascii="Times New Roman" w:hAnsi="Times New Roman" w:cs="Times New Roman"/>
          <w:sz w:val="28"/>
          <w:szCs w:val="28"/>
          <w:lang w:val="en-US"/>
        </w:rPr>
        <w:t>McGovern’s</w:t>
      </w:r>
      <w:r w:rsidR="00F62C0A" w:rsidRPr="00F67E59">
        <w:rPr>
          <w:rFonts w:ascii="Times New Roman" w:hAnsi="Times New Roman" w:cs="Times New Roman"/>
          <w:sz w:val="28"/>
          <w:szCs w:val="28"/>
          <w:lang w:val="en-US"/>
        </w:rPr>
        <w:t xml:space="preserve"> son could be sufficient notice</w:t>
      </w:r>
      <w:r w:rsidR="003D2A4C" w:rsidRPr="00F67E59">
        <w:rPr>
          <w:rFonts w:ascii="Times New Roman" w:hAnsi="Times New Roman" w:cs="Times New Roman"/>
          <w:sz w:val="28"/>
          <w:szCs w:val="28"/>
          <w:lang w:val="en-US"/>
        </w:rPr>
        <w:t>,</w:t>
      </w:r>
      <w:r w:rsidR="00F62C0A" w:rsidRPr="00F67E59">
        <w:rPr>
          <w:rFonts w:ascii="Times New Roman" w:hAnsi="Times New Roman" w:cs="Times New Roman"/>
          <w:sz w:val="28"/>
          <w:szCs w:val="28"/>
          <w:lang w:val="en-US"/>
        </w:rPr>
        <w:t xml:space="preserve"> and the </w:t>
      </w:r>
      <w:r w:rsidR="00B81FDE" w:rsidRPr="00F67E59">
        <w:rPr>
          <w:rFonts w:ascii="Times New Roman" w:hAnsi="Times New Roman" w:cs="Times New Roman"/>
          <w:sz w:val="28"/>
          <w:szCs w:val="28"/>
          <w:lang w:val="en-US"/>
        </w:rPr>
        <w:t>Board</w:t>
      </w:r>
      <w:r w:rsidR="00F62C0A" w:rsidRPr="00F67E59">
        <w:rPr>
          <w:rFonts w:ascii="Times New Roman" w:hAnsi="Times New Roman" w:cs="Times New Roman"/>
          <w:sz w:val="28"/>
          <w:szCs w:val="28"/>
          <w:lang w:val="en-US"/>
        </w:rPr>
        <w:t xml:space="preserve"> does not intend to speculate in this regard. </w:t>
      </w:r>
      <w:r>
        <w:rPr>
          <w:rFonts w:ascii="Times New Roman" w:hAnsi="Times New Roman" w:cs="Times New Roman"/>
          <w:sz w:val="28"/>
          <w:szCs w:val="28"/>
          <w:lang w:val="en-US"/>
        </w:rPr>
        <w:t xml:space="preserve">Further, the evidence that is offered is that notice was given to Mr. McGovern’s son </w:t>
      </w:r>
      <w:proofErr w:type="gramStart"/>
      <w:r>
        <w:rPr>
          <w:rFonts w:ascii="Times New Roman" w:hAnsi="Times New Roman" w:cs="Times New Roman"/>
          <w:sz w:val="28"/>
          <w:szCs w:val="28"/>
          <w:lang w:val="en-US"/>
        </w:rPr>
        <w:t>of</w:t>
      </w:r>
      <w:proofErr w:type="gramEnd"/>
      <w:r>
        <w:rPr>
          <w:rFonts w:ascii="Times New Roman" w:hAnsi="Times New Roman" w:cs="Times New Roman"/>
          <w:sz w:val="28"/>
          <w:szCs w:val="28"/>
          <w:lang w:val="en-US"/>
        </w:rPr>
        <w:t xml:space="preserve"> the meeting of members, and no evidence whatsoever is offered that he was notified of the intention to hold a meeting of the executive committee. </w:t>
      </w:r>
      <w:r w:rsidR="00F62C0A" w:rsidRPr="00F67E59">
        <w:rPr>
          <w:rFonts w:ascii="Times New Roman" w:hAnsi="Times New Roman" w:cs="Times New Roman"/>
          <w:sz w:val="28"/>
          <w:szCs w:val="28"/>
          <w:lang w:val="en-US"/>
        </w:rPr>
        <w:t xml:space="preserve">The reasonableness or adequacy of notice is not tested in the light of either malice or bad intentions on the part of the notice giver. </w:t>
      </w:r>
      <w:r w:rsidR="002F7F0C">
        <w:rPr>
          <w:rFonts w:ascii="Times New Roman" w:hAnsi="Times New Roman" w:cs="Times New Roman"/>
          <w:sz w:val="28"/>
          <w:szCs w:val="28"/>
          <w:lang w:val="en-US"/>
        </w:rPr>
        <w:t>I</w:t>
      </w:r>
      <w:r w:rsidR="00F62C0A" w:rsidRPr="00F67E59">
        <w:rPr>
          <w:rFonts w:ascii="Times New Roman" w:hAnsi="Times New Roman" w:cs="Times New Roman"/>
          <w:sz w:val="28"/>
          <w:szCs w:val="28"/>
          <w:lang w:val="en-US"/>
        </w:rPr>
        <w:t>t is tested objectively in the light of the circumstances.</w:t>
      </w:r>
      <w:r w:rsidR="00187505" w:rsidRPr="00F67E59">
        <w:rPr>
          <w:rFonts w:ascii="Times New Roman" w:hAnsi="Times New Roman" w:cs="Times New Roman"/>
          <w:sz w:val="28"/>
          <w:szCs w:val="28"/>
          <w:lang w:val="en-US"/>
        </w:rPr>
        <w:t xml:space="preserve">  The argument that no malice was intended is therefore </w:t>
      </w:r>
      <w:r w:rsidR="00416FB6">
        <w:rPr>
          <w:rFonts w:ascii="Times New Roman" w:hAnsi="Times New Roman" w:cs="Times New Roman"/>
          <w:sz w:val="28"/>
          <w:szCs w:val="28"/>
          <w:lang w:val="en-US"/>
        </w:rPr>
        <w:t>not relevant to the appeal</w:t>
      </w:r>
      <w:r w:rsidR="00187505" w:rsidRPr="00F67E59">
        <w:rPr>
          <w:rFonts w:ascii="Times New Roman" w:hAnsi="Times New Roman" w:cs="Times New Roman"/>
          <w:sz w:val="28"/>
          <w:szCs w:val="28"/>
          <w:lang w:val="en-US"/>
        </w:rPr>
        <w:t>.  There being no evidence to support the proposition that notice to Mr. McGovern’s son could be adequate to notify his father, the Boa</w:t>
      </w:r>
      <w:r w:rsidR="004E6A07">
        <w:rPr>
          <w:rFonts w:ascii="Times New Roman" w:hAnsi="Times New Roman" w:cs="Times New Roman"/>
          <w:sz w:val="28"/>
          <w:szCs w:val="28"/>
          <w:lang w:val="en-US"/>
        </w:rPr>
        <w:t>r</w:t>
      </w:r>
      <w:r w:rsidR="00187505" w:rsidRPr="00F67E59">
        <w:rPr>
          <w:rFonts w:ascii="Times New Roman" w:hAnsi="Times New Roman" w:cs="Times New Roman"/>
          <w:sz w:val="28"/>
          <w:szCs w:val="28"/>
          <w:lang w:val="en-US"/>
        </w:rPr>
        <w:t>d rejects the argument that Mr. McGovern was notified</w:t>
      </w:r>
      <w:r>
        <w:rPr>
          <w:rFonts w:ascii="Times New Roman" w:hAnsi="Times New Roman" w:cs="Times New Roman"/>
          <w:sz w:val="28"/>
          <w:szCs w:val="28"/>
          <w:lang w:val="en-US"/>
        </w:rPr>
        <w:t xml:space="preserve"> of the intention to hold a meeting of the executive.</w:t>
      </w:r>
    </w:p>
    <w:p w14:paraId="572730A4" w14:textId="77777777" w:rsidR="005E476A" w:rsidRDefault="005E476A" w:rsidP="005E476A">
      <w:pPr>
        <w:pStyle w:val="ListParagraph"/>
        <w:spacing w:line="480" w:lineRule="auto"/>
        <w:ind w:left="785"/>
        <w:jc w:val="both"/>
        <w:rPr>
          <w:rFonts w:ascii="Times New Roman" w:hAnsi="Times New Roman" w:cs="Times New Roman"/>
          <w:sz w:val="28"/>
          <w:szCs w:val="28"/>
          <w:lang w:val="en-US"/>
        </w:rPr>
      </w:pPr>
    </w:p>
    <w:p w14:paraId="2C0905AF" w14:textId="28176031" w:rsidR="00F62C0A" w:rsidRDefault="00F62C0A" w:rsidP="005E476A">
      <w:pPr>
        <w:pStyle w:val="ListParagraph"/>
        <w:numPr>
          <w:ilvl w:val="0"/>
          <w:numId w:val="1"/>
        </w:numPr>
        <w:spacing w:line="480" w:lineRule="auto"/>
        <w:jc w:val="both"/>
        <w:rPr>
          <w:rFonts w:ascii="Times New Roman" w:hAnsi="Times New Roman" w:cs="Times New Roman"/>
          <w:sz w:val="28"/>
          <w:szCs w:val="28"/>
          <w:lang w:val="en-US"/>
        </w:rPr>
      </w:pPr>
      <w:r w:rsidRPr="005E476A">
        <w:rPr>
          <w:rFonts w:ascii="Times New Roman" w:hAnsi="Times New Roman" w:cs="Times New Roman"/>
          <w:sz w:val="28"/>
          <w:szCs w:val="28"/>
          <w:lang w:val="en-US"/>
        </w:rPr>
        <w:t>M</w:t>
      </w:r>
      <w:r w:rsidR="00187505" w:rsidRPr="005E476A">
        <w:rPr>
          <w:rFonts w:ascii="Times New Roman" w:hAnsi="Times New Roman" w:cs="Times New Roman"/>
          <w:sz w:val="28"/>
          <w:szCs w:val="28"/>
          <w:lang w:val="en-US"/>
        </w:rPr>
        <w:t>s.</w:t>
      </w:r>
      <w:r w:rsidRPr="005E476A">
        <w:rPr>
          <w:rFonts w:ascii="Times New Roman" w:hAnsi="Times New Roman" w:cs="Times New Roman"/>
          <w:sz w:val="28"/>
          <w:szCs w:val="28"/>
          <w:lang w:val="en-US"/>
        </w:rPr>
        <w:t xml:space="preserve"> </w:t>
      </w:r>
      <w:r w:rsidR="00C6149E" w:rsidRPr="005E476A">
        <w:rPr>
          <w:rFonts w:ascii="Times New Roman" w:hAnsi="Times New Roman" w:cs="Times New Roman"/>
          <w:sz w:val="28"/>
          <w:szCs w:val="28"/>
          <w:lang w:val="en-US"/>
        </w:rPr>
        <w:t>Herraty</w:t>
      </w:r>
      <w:r w:rsidRPr="005E476A">
        <w:rPr>
          <w:rFonts w:ascii="Times New Roman" w:hAnsi="Times New Roman" w:cs="Times New Roman"/>
          <w:sz w:val="28"/>
          <w:szCs w:val="28"/>
          <w:lang w:val="en-US"/>
        </w:rPr>
        <w:t xml:space="preserve"> makes the point that the decision of two of those who attended </w:t>
      </w:r>
      <w:r w:rsidR="002F7F0C">
        <w:rPr>
          <w:rFonts w:ascii="Times New Roman" w:hAnsi="Times New Roman" w:cs="Times New Roman"/>
          <w:sz w:val="28"/>
          <w:szCs w:val="28"/>
          <w:lang w:val="en-US"/>
        </w:rPr>
        <w:t xml:space="preserve">the meeting of the executive </w:t>
      </w:r>
      <w:r w:rsidRPr="005E476A">
        <w:rPr>
          <w:rFonts w:ascii="Times New Roman" w:hAnsi="Times New Roman" w:cs="Times New Roman"/>
          <w:sz w:val="28"/>
          <w:szCs w:val="28"/>
          <w:lang w:val="en-US"/>
        </w:rPr>
        <w:t>could not</w:t>
      </w:r>
      <w:r w:rsidR="003D2A4C" w:rsidRPr="005E476A">
        <w:rPr>
          <w:rFonts w:ascii="Times New Roman" w:hAnsi="Times New Roman" w:cs="Times New Roman"/>
          <w:sz w:val="28"/>
          <w:szCs w:val="28"/>
          <w:lang w:val="en-US"/>
        </w:rPr>
        <w:t>,</w:t>
      </w:r>
      <w:r w:rsidRPr="005E476A">
        <w:rPr>
          <w:rFonts w:ascii="Times New Roman" w:hAnsi="Times New Roman" w:cs="Times New Roman"/>
          <w:sz w:val="28"/>
          <w:szCs w:val="28"/>
          <w:lang w:val="en-US"/>
        </w:rPr>
        <w:t xml:space="preserve"> on the facts</w:t>
      </w:r>
      <w:r w:rsidR="003D2A4C" w:rsidRPr="005E476A">
        <w:rPr>
          <w:rFonts w:ascii="Times New Roman" w:hAnsi="Times New Roman" w:cs="Times New Roman"/>
          <w:sz w:val="28"/>
          <w:szCs w:val="28"/>
          <w:lang w:val="en-US"/>
        </w:rPr>
        <w:t>,</w:t>
      </w:r>
      <w:r w:rsidRPr="005E476A">
        <w:rPr>
          <w:rFonts w:ascii="Times New Roman" w:hAnsi="Times New Roman" w:cs="Times New Roman"/>
          <w:sz w:val="28"/>
          <w:szCs w:val="28"/>
          <w:lang w:val="en-US"/>
        </w:rPr>
        <w:t xml:space="preserve"> have been displaced by another vote, because both she and Mr. </w:t>
      </w:r>
      <w:r w:rsidR="00187505" w:rsidRPr="005E476A">
        <w:rPr>
          <w:rFonts w:ascii="Times New Roman" w:hAnsi="Times New Roman" w:cs="Times New Roman"/>
          <w:sz w:val="28"/>
          <w:szCs w:val="28"/>
          <w:lang w:val="en-US"/>
        </w:rPr>
        <w:t>Blighe</w:t>
      </w:r>
      <w:r w:rsidRPr="005E476A">
        <w:rPr>
          <w:rFonts w:ascii="Times New Roman" w:hAnsi="Times New Roman" w:cs="Times New Roman"/>
          <w:sz w:val="28"/>
          <w:szCs w:val="28"/>
          <w:lang w:val="en-US"/>
        </w:rPr>
        <w:t xml:space="preserve"> voted in favor of the relevant changes and therefore the 61% threshold would have been achieved by their combined votes. This argument omits taking account of the possibility that had Mr. McGovern attended the meeting he might have </w:t>
      </w:r>
      <w:r w:rsidRPr="005E476A">
        <w:rPr>
          <w:rFonts w:ascii="Times New Roman" w:hAnsi="Times New Roman" w:cs="Times New Roman"/>
          <w:sz w:val="28"/>
          <w:szCs w:val="28"/>
          <w:lang w:val="en-US"/>
        </w:rPr>
        <w:lastRenderedPageBreak/>
        <w:t>influenced the decision of some of the other attendees. The legal requirements that all persons entitled to attend a meeting must be notified of the intention to hold that meeting is not met by an argument that the attendance of that person would not, or could not, have made any difference to the outcome, when a vote is usually the result of the discussion or debate or presentation of a position by and to those attending.</w:t>
      </w:r>
    </w:p>
    <w:p w14:paraId="238F627E" w14:textId="77777777" w:rsidR="005E476A" w:rsidRPr="005E476A" w:rsidRDefault="005E476A" w:rsidP="005E476A">
      <w:pPr>
        <w:pStyle w:val="ListParagraph"/>
        <w:rPr>
          <w:rFonts w:ascii="Times New Roman" w:hAnsi="Times New Roman" w:cs="Times New Roman"/>
          <w:sz w:val="28"/>
          <w:szCs w:val="28"/>
          <w:lang w:val="en-US"/>
        </w:rPr>
      </w:pPr>
    </w:p>
    <w:p w14:paraId="737C6163" w14:textId="604229C6" w:rsidR="000745FE" w:rsidRDefault="00410256" w:rsidP="005E476A">
      <w:pPr>
        <w:pStyle w:val="ListParagraph"/>
        <w:numPr>
          <w:ilvl w:val="0"/>
          <w:numId w:val="1"/>
        </w:numPr>
        <w:spacing w:line="480" w:lineRule="auto"/>
        <w:jc w:val="both"/>
        <w:rPr>
          <w:rFonts w:ascii="Times New Roman" w:hAnsi="Times New Roman" w:cs="Times New Roman"/>
          <w:sz w:val="28"/>
          <w:szCs w:val="28"/>
          <w:lang w:val="en-US"/>
        </w:rPr>
      </w:pPr>
      <w:r w:rsidRPr="005E476A">
        <w:rPr>
          <w:rFonts w:ascii="Times New Roman" w:hAnsi="Times New Roman" w:cs="Times New Roman"/>
          <w:sz w:val="28"/>
          <w:szCs w:val="28"/>
          <w:lang w:val="en-US"/>
        </w:rPr>
        <w:t xml:space="preserve">The </w:t>
      </w:r>
      <w:r w:rsidR="00B81FDE" w:rsidRPr="005E476A">
        <w:rPr>
          <w:rFonts w:ascii="Times New Roman" w:hAnsi="Times New Roman" w:cs="Times New Roman"/>
          <w:sz w:val="28"/>
          <w:szCs w:val="28"/>
          <w:lang w:val="en-US"/>
        </w:rPr>
        <w:t>Board</w:t>
      </w:r>
      <w:r w:rsidRPr="005E476A">
        <w:rPr>
          <w:rFonts w:ascii="Times New Roman" w:hAnsi="Times New Roman" w:cs="Times New Roman"/>
          <w:sz w:val="28"/>
          <w:szCs w:val="28"/>
          <w:lang w:val="en-US"/>
        </w:rPr>
        <w:t xml:space="preserve"> considers that the accepted fact that M</w:t>
      </w:r>
      <w:r w:rsidR="005E476A">
        <w:rPr>
          <w:rFonts w:ascii="Times New Roman" w:hAnsi="Times New Roman" w:cs="Times New Roman"/>
          <w:sz w:val="28"/>
          <w:szCs w:val="28"/>
          <w:lang w:val="en-US"/>
        </w:rPr>
        <w:t>r.</w:t>
      </w:r>
      <w:r w:rsidRPr="005E476A">
        <w:rPr>
          <w:rFonts w:ascii="Times New Roman" w:hAnsi="Times New Roman" w:cs="Times New Roman"/>
          <w:sz w:val="28"/>
          <w:szCs w:val="28"/>
          <w:lang w:val="en-US"/>
        </w:rPr>
        <w:t xml:space="preserve"> McGovern did not receive notice of the intention to hold the meeting of the executive is a matter of significant </w:t>
      </w:r>
      <w:r w:rsidR="00AE44B9" w:rsidRPr="005E476A">
        <w:rPr>
          <w:rFonts w:ascii="Times New Roman" w:hAnsi="Times New Roman" w:cs="Times New Roman"/>
          <w:sz w:val="28"/>
          <w:szCs w:val="28"/>
          <w:lang w:val="en-US"/>
        </w:rPr>
        <w:t>concern</w:t>
      </w:r>
      <w:r w:rsidR="005E476A">
        <w:rPr>
          <w:rFonts w:ascii="Times New Roman" w:hAnsi="Times New Roman" w:cs="Times New Roman"/>
          <w:sz w:val="28"/>
          <w:szCs w:val="28"/>
          <w:lang w:val="en-US"/>
        </w:rPr>
        <w:t>,</w:t>
      </w:r>
      <w:r w:rsidR="00AE44B9" w:rsidRPr="005E476A">
        <w:rPr>
          <w:rFonts w:ascii="Times New Roman" w:hAnsi="Times New Roman" w:cs="Times New Roman"/>
          <w:sz w:val="28"/>
          <w:szCs w:val="28"/>
          <w:lang w:val="en-US"/>
        </w:rPr>
        <w:t xml:space="preserve"> and</w:t>
      </w:r>
      <w:r w:rsidR="00DD705D">
        <w:rPr>
          <w:rFonts w:ascii="Times New Roman" w:hAnsi="Times New Roman" w:cs="Times New Roman"/>
          <w:sz w:val="28"/>
          <w:szCs w:val="28"/>
          <w:lang w:val="en-US"/>
        </w:rPr>
        <w:t>,</w:t>
      </w:r>
      <w:r w:rsidRPr="005E476A">
        <w:rPr>
          <w:rFonts w:ascii="Times New Roman" w:hAnsi="Times New Roman" w:cs="Times New Roman"/>
          <w:sz w:val="28"/>
          <w:szCs w:val="28"/>
          <w:lang w:val="en-US"/>
        </w:rPr>
        <w:t xml:space="preserve"> taken alone</w:t>
      </w:r>
      <w:r w:rsidR="00DD705D">
        <w:rPr>
          <w:rFonts w:ascii="Times New Roman" w:hAnsi="Times New Roman" w:cs="Times New Roman"/>
          <w:sz w:val="28"/>
          <w:szCs w:val="28"/>
          <w:lang w:val="en-US"/>
        </w:rPr>
        <w:t>,</w:t>
      </w:r>
      <w:r w:rsidRPr="005E476A">
        <w:rPr>
          <w:rFonts w:ascii="Times New Roman" w:hAnsi="Times New Roman" w:cs="Times New Roman"/>
          <w:sz w:val="28"/>
          <w:szCs w:val="28"/>
          <w:lang w:val="en-US"/>
        </w:rPr>
        <w:t xml:space="preserve"> is sufficient to invalidate the decisions taken at the meeting. Moreover only two persons attended the committee meeting, and while the </w:t>
      </w:r>
      <w:r w:rsidR="00187505" w:rsidRPr="005E476A">
        <w:rPr>
          <w:rFonts w:ascii="Times New Roman" w:hAnsi="Times New Roman" w:cs="Times New Roman"/>
          <w:sz w:val="28"/>
          <w:szCs w:val="28"/>
          <w:lang w:val="en-US"/>
        </w:rPr>
        <w:t>P</w:t>
      </w:r>
      <w:r w:rsidRPr="005E476A">
        <w:rPr>
          <w:rFonts w:ascii="Times New Roman" w:hAnsi="Times New Roman" w:cs="Times New Roman"/>
          <w:sz w:val="28"/>
          <w:szCs w:val="28"/>
          <w:lang w:val="en-US"/>
        </w:rPr>
        <w:t>arty constitution makes no provision for how a quorum is to be calculated, on any reasonable reading of Article 5 of the constitution</w:t>
      </w:r>
      <w:r w:rsidR="002F7F0C">
        <w:rPr>
          <w:rFonts w:ascii="Times New Roman" w:hAnsi="Times New Roman" w:cs="Times New Roman"/>
          <w:sz w:val="28"/>
          <w:szCs w:val="28"/>
          <w:lang w:val="en-US"/>
        </w:rPr>
        <w:t>,</w:t>
      </w:r>
      <w:r w:rsidRPr="005E476A">
        <w:rPr>
          <w:rFonts w:ascii="Times New Roman" w:hAnsi="Times New Roman" w:cs="Times New Roman"/>
          <w:sz w:val="28"/>
          <w:szCs w:val="28"/>
          <w:lang w:val="en-US"/>
        </w:rPr>
        <w:t xml:space="preserve"> which requires that the committee nomination selection “shall be subject to appointment by the executive committee by consensus majority of 61%”</w:t>
      </w:r>
      <w:r w:rsidR="002F7F0C">
        <w:rPr>
          <w:rFonts w:ascii="Times New Roman" w:hAnsi="Times New Roman" w:cs="Times New Roman"/>
          <w:sz w:val="28"/>
          <w:szCs w:val="28"/>
          <w:lang w:val="en-US"/>
        </w:rPr>
        <w:t>,</w:t>
      </w:r>
      <w:r w:rsidRPr="005E476A">
        <w:rPr>
          <w:rFonts w:ascii="Times New Roman" w:hAnsi="Times New Roman" w:cs="Times New Roman"/>
          <w:sz w:val="28"/>
          <w:szCs w:val="28"/>
          <w:lang w:val="en-US"/>
        </w:rPr>
        <w:t xml:space="preserve"> a committee meeting held without notice to one </w:t>
      </w:r>
      <w:r w:rsidR="002F7F0C">
        <w:rPr>
          <w:rFonts w:ascii="Times New Roman" w:hAnsi="Times New Roman" w:cs="Times New Roman"/>
          <w:sz w:val="28"/>
          <w:szCs w:val="28"/>
          <w:lang w:val="en-US"/>
        </w:rPr>
        <w:t xml:space="preserve">at least </w:t>
      </w:r>
      <w:r w:rsidRPr="005E476A">
        <w:rPr>
          <w:rFonts w:ascii="Times New Roman" w:hAnsi="Times New Roman" w:cs="Times New Roman"/>
          <w:sz w:val="28"/>
          <w:szCs w:val="28"/>
          <w:lang w:val="en-US"/>
        </w:rPr>
        <w:t xml:space="preserve">of the six members, and at which only two of the six members </w:t>
      </w:r>
      <w:r w:rsidR="00187505" w:rsidRPr="005E476A">
        <w:rPr>
          <w:rFonts w:ascii="Times New Roman" w:hAnsi="Times New Roman" w:cs="Times New Roman"/>
          <w:sz w:val="28"/>
          <w:szCs w:val="28"/>
          <w:lang w:val="en-US"/>
        </w:rPr>
        <w:t xml:space="preserve">did in fact attend, </w:t>
      </w:r>
      <w:r w:rsidRPr="005E476A">
        <w:rPr>
          <w:rFonts w:ascii="Times New Roman" w:hAnsi="Times New Roman" w:cs="Times New Roman"/>
          <w:sz w:val="28"/>
          <w:szCs w:val="28"/>
          <w:lang w:val="en-US"/>
        </w:rPr>
        <w:t>would not be quorate</w:t>
      </w:r>
      <w:r w:rsidR="00187505" w:rsidRPr="005E476A">
        <w:rPr>
          <w:rFonts w:ascii="Times New Roman" w:hAnsi="Times New Roman" w:cs="Times New Roman"/>
          <w:sz w:val="28"/>
          <w:szCs w:val="28"/>
          <w:lang w:val="en-US"/>
        </w:rPr>
        <w:t>, and did not meet the requirement of a “consensus majority” which must be taken to mean that a high degree of unanimity of the executive committee was required to make a decision.</w:t>
      </w:r>
    </w:p>
    <w:p w14:paraId="6355BDD4" w14:textId="77777777" w:rsidR="005E476A" w:rsidRPr="005E476A" w:rsidRDefault="005E476A" w:rsidP="005E476A">
      <w:pPr>
        <w:pStyle w:val="ListParagraph"/>
        <w:rPr>
          <w:rFonts w:ascii="Times New Roman" w:hAnsi="Times New Roman" w:cs="Times New Roman"/>
          <w:sz w:val="28"/>
          <w:szCs w:val="28"/>
          <w:lang w:val="en-US"/>
        </w:rPr>
      </w:pPr>
    </w:p>
    <w:p w14:paraId="1F528722" w14:textId="1421C58E" w:rsidR="005E476A" w:rsidRPr="005E476A" w:rsidRDefault="005E476A" w:rsidP="005E476A">
      <w:pPr>
        <w:pStyle w:val="ListParagraph"/>
        <w:numPr>
          <w:ilvl w:val="0"/>
          <w:numId w:val="1"/>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It is possible to argue that a degree of informality is permissible in the calling of meetings of the executive committee, given that it was a small committee and that the members were frequently in contact with one another to resolve issues of a day-to-day nature. </w:t>
      </w:r>
      <w:r w:rsidR="00187505" w:rsidRPr="005E476A">
        <w:rPr>
          <w:rFonts w:ascii="Times New Roman" w:hAnsi="Times New Roman" w:cs="Times New Roman"/>
          <w:sz w:val="28"/>
          <w:szCs w:val="28"/>
        </w:rPr>
        <w:t xml:space="preserve">The </w:t>
      </w:r>
      <w:r w:rsidR="002F7F0C">
        <w:rPr>
          <w:rFonts w:ascii="Times New Roman" w:hAnsi="Times New Roman" w:cs="Times New Roman"/>
          <w:sz w:val="28"/>
          <w:szCs w:val="28"/>
        </w:rPr>
        <w:t xml:space="preserve">decision of the </w:t>
      </w:r>
      <w:r w:rsidR="00187505" w:rsidRPr="005E476A">
        <w:rPr>
          <w:rFonts w:ascii="Times New Roman" w:hAnsi="Times New Roman" w:cs="Times New Roman"/>
          <w:sz w:val="28"/>
          <w:szCs w:val="28"/>
        </w:rPr>
        <w:t xml:space="preserve">High Court of England and Wales </w:t>
      </w:r>
      <w:r w:rsidR="00187505" w:rsidRPr="005E476A">
        <w:rPr>
          <w:rFonts w:ascii="Times New Roman" w:eastAsia="Calibri" w:hAnsi="Times New Roman" w:cs="Times New Roman"/>
          <w:sz w:val="28"/>
          <w:szCs w:val="28"/>
        </w:rPr>
        <w:t xml:space="preserve">in </w:t>
      </w:r>
      <w:r w:rsidR="00187505" w:rsidRPr="005E476A">
        <w:rPr>
          <w:rFonts w:ascii="Times New Roman" w:eastAsia="Calibri" w:hAnsi="Times New Roman" w:cs="Times New Roman"/>
          <w:i/>
          <w:sz w:val="28"/>
          <w:szCs w:val="28"/>
        </w:rPr>
        <w:t xml:space="preserve">Re GKN Sports </w:t>
      </w:r>
      <w:proofErr w:type="gramStart"/>
      <w:r w:rsidR="00187505" w:rsidRPr="005E476A">
        <w:rPr>
          <w:rFonts w:ascii="Times New Roman" w:eastAsia="Calibri" w:hAnsi="Times New Roman" w:cs="Times New Roman"/>
          <w:i/>
          <w:sz w:val="28"/>
          <w:szCs w:val="28"/>
        </w:rPr>
        <w:t>Club</w:t>
      </w:r>
      <w:r w:rsidR="00416FB6">
        <w:rPr>
          <w:vertAlign w:val="superscript"/>
        </w:rPr>
        <w:t xml:space="preserve">  </w:t>
      </w:r>
      <w:r w:rsidR="00187505" w:rsidRPr="005E476A">
        <w:rPr>
          <w:rFonts w:ascii="Times New Roman" w:hAnsi="Times New Roman" w:cs="Times New Roman"/>
          <w:sz w:val="28"/>
          <w:szCs w:val="28"/>
        </w:rPr>
        <w:t>is</w:t>
      </w:r>
      <w:proofErr w:type="gramEnd"/>
      <w:r w:rsidR="00187505" w:rsidRPr="005E476A">
        <w:rPr>
          <w:rFonts w:ascii="Times New Roman" w:hAnsi="Times New Roman" w:cs="Times New Roman"/>
          <w:sz w:val="28"/>
          <w:szCs w:val="28"/>
        </w:rPr>
        <w:t xml:space="preserve"> the leading case on the </w:t>
      </w:r>
      <w:r>
        <w:rPr>
          <w:rFonts w:ascii="Times New Roman" w:hAnsi="Times New Roman" w:cs="Times New Roman"/>
          <w:sz w:val="28"/>
          <w:szCs w:val="28"/>
        </w:rPr>
        <w:t>appropriateness of an unduly strict reading of the legal requirements for notice</w:t>
      </w:r>
      <w:r w:rsidR="00187505" w:rsidRPr="005E476A">
        <w:rPr>
          <w:rFonts w:ascii="Times New Roman" w:hAnsi="Times New Roman" w:cs="Times New Roman"/>
          <w:sz w:val="28"/>
          <w:szCs w:val="28"/>
        </w:rPr>
        <w:t>.  There Megarry V-C, stated</w:t>
      </w:r>
      <w:r>
        <w:rPr>
          <w:rFonts w:ascii="Times New Roman" w:hAnsi="Times New Roman" w:cs="Times New Roman"/>
          <w:sz w:val="28"/>
          <w:szCs w:val="28"/>
        </w:rPr>
        <w:t>:</w:t>
      </w:r>
    </w:p>
    <w:p w14:paraId="3C16E43D" w14:textId="77777777" w:rsidR="005E476A" w:rsidRPr="005E476A" w:rsidRDefault="005E476A" w:rsidP="005E476A">
      <w:pPr>
        <w:pStyle w:val="ListParagraph"/>
        <w:rPr>
          <w:rFonts w:ascii="Times New Roman" w:hAnsi="Times New Roman" w:cs="Times New Roman"/>
          <w:sz w:val="28"/>
          <w:szCs w:val="28"/>
        </w:rPr>
      </w:pPr>
    </w:p>
    <w:p w14:paraId="240BB053" w14:textId="631C286C" w:rsidR="00187505" w:rsidRPr="005E476A" w:rsidRDefault="00187505" w:rsidP="005E476A">
      <w:pPr>
        <w:pStyle w:val="ListParagraph"/>
        <w:spacing w:line="480" w:lineRule="auto"/>
        <w:ind w:left="1440"/>
        <w:jc w:val="both"/>
        <w:rPr>
          <w:rFonts w:ascii="Times New Roman" w:hAnsi="Times New Roman" w:cs="Times New Roman"/>
          <w:sz w:val="28"/>
          <w:szCs w:val="28"/>
          <w:lang w:val="en-US"/>
        </w:rPr>
      </w:pPr>
      <w:r w:rsidRPr="005E476A">
        <w:rPr>
          <w:rFonts w:ascii="Times New Roman" w:hAnsi="Times New Roman" w:cs="Times New Roman"/>
          <w:i/>
          <w:iCs/>
          <w:sz w:val="28"/>
          <w:szCs w:val="28"/>
        </w:rPr>
        <w:t xml:space="preserve">“In such cases [involving clubs], the court usually </w:t>
      </w:r>
      <w:proofErr w:type="gramStart"/>
      <w:r w:rsidRPr="005E476A">
        <w:rPr>
          <w:rFonts w:ascii="Times New Roman" w:hAnsi="Times New Roman" w:cs="Times New Roman"/>
          <w:i/>
          <w:iCs/>
          <w:sz w:val="28"/>
          <w:szCs w:val="28"/>
        </w:rPr>
        <w:t>has to</w:t>
      </w:r>
      <w:proofErr w:type="gramEnd"/>
      <w:r w:rsidRPr="005E476A">
        <w:rPr>
          <w:rFonts w:ascii="Times New Roman" w:hAnsi="Times New Roman" w:cs="Times New Roman"/>
          <w:i/>
          <w:iCs/>
          <w:sz w:val="28"/>
          <w:szCs w:val="28"/>
        </w:rPr>
        <w:t xml:space="preserve"> take a broad sword to the problems and eschew an unduly meticulous examination of the rules and resolutions. I am not, of course, saying that these should be ignored; but usually there is a considerable degree of informality in the conduct of the affairs of such clubs, and I think that the courts have to be ready to allow general concepts of reasonableness, fairness and common sense to be given more than their usual weight when confronted by claims to the contrary which appear to be based on any strict interpretation and rigid application of the letter of the rules. In other words, allowance must be made for some play in the joints.”</w:t>
      </w:r>
    </w:p>
    <w:p w14:paraId="398A532D" w14:textId="77777777" w:rsidR="005E476A" w:rsidRPr="005E476A" w:rsidRDefault="005E476A" w:rsidP="005E476A">
      <w:pPr>
        <w:pStyle w:val="ListParagraph"/>
        <w:rPr>
          <w:rFonts w:ascii="Times New Roman" w:hAnsi="Times New Roman" w:cs="Times New Roman"/>
          <w:sz w:val="28"/>
          <w:szCs w:val="28"/>
          <w:lang w:val="en-US"/>
        </w:rPr>
      </w:pPr>
    </w:p>
    <w:p w14:paraId="7FF393DA" w14:textId="6EA490C8" w:rsidR="006E2897" w:rsidRDefault="00187505" w:rsidP="005E476A">
      <w:pPr>
        <w:pStyle w:val="ListParagraph"/>
        <w:numPr>
          <w:ilvl w:val="0"/>
          <w:numId w:val="1"/>
        </w:numPr>
        <w:spacing w:line="480" w:lineRule="auto"/>
        <w:jc w:val="both"/>
        <w:rPr>
          <w:rFonts w:ascii="Times New Roman" w:hAnsi="Times New Roman" w:cs="Times New Roman"/>
          <w:sz w:val="28"/>
          <w:szCs w:val="28"/>
          <w:lang w:val="en-US"/>
        </w:rPr>
      </w:pPr>
      <w:r w:rsidRPr="005E476A">
        <w:rPr>
          <w:rFonts w:ascii="Times New Roman" w:hAnsi="Times New Roman" w:cs="Times New Roman"/>
          <w:sz w:val="28"/>
          <w:szCs w:val="28"/>
        </w:rPr>
        <w:t xml:space="preserve">This quotation was cited with approval by the Supreme Court in the Roadstone Sports and Social Club case, </w:t>
      </w:r>
      <w:r w:rsidRPr="005E476A">
        <w:rPr>
          <w:rFonts w:ascii="Times New Roman" w:hAnsi="Times New Roman" w:cs="Times New Roman"/>
          <w:i/>
          <w:sz w:val="28"/>
          <w:szCs w:val="28"/>
        </w:rPr>
        <w:t>Dunne v Mahon</w:t>
      </w:r>
      <w:r w:rsidRPr="005E476A">
        <w:rPr>
          <w:rFonts w:ascii="Times New Roman" w:hAnsi="Times New Roman" w:cs="Times New Roman"/>
          <w:sz w:val="28"/>
          <w:szCs w:val="28"/>
        </w:rPr>
        <w:t>.</w:t>
      </w:r>
      <w:r w:rsidR="00DD705D">
        <w:rPr>
          <w:rFonts w:ascii="Times New Roman" w:hAnsi="Times New Roman" w:cs="Times New Roman"/>
          <w:sz w:val="28"/>
          <w:szCs w:val="28"/>
        </w:rPr>
        <w:t xml:space="preserve"> </w:t>
      </w:r>
      <w:proofErr w:type="gramStart"/>
      <w:r w:rsidRPr="005E476A">
        <w:rPr>
          <w:rFonts w:ascii="Times New Roman" w:hAnsi="Times New Roman" w:cs="Times New Roman"/>
          <w:sz w:val="28"/>
          <w:szCs w:val="28"/>
        </w:rPr>
        <w:t>However</w:t>
      </w:r>
      <w:proofErr w:type="gramEnd"/>
      <w:r w:rsidRPr="005E476A">
        <w:rPr>
          <w:rFonts w:ascii="Times New Roman" w:hAnsi="Times New Roman" w:cs="Times New Roman"/>
          <w:sz w:val="28"/>
          <w:szCs w:val="28"/>
        </w:rPr>
        <w:t xml:space="preserve"> </w:t>
      </w:r>
      <w:r w:rsidR="002F7F0C">
        <w:rPr>
          <w:rFonts w:ascii="Times New Roman" w:hAnsi="Times New Roman" w:cs="Times New Roman"/>
          <w:sz w:val="28"/>
          <w:szCs w:val="28"/>
        </w:rPr>
        <w:t xml:space="preserve">in the light of the factors analysed above </w:t>
      </w:r>
      <w:r w:rsidRPr="005E476A">
        <w:rPr>
          <w:rFonts w:ascii="Times New Roman" w:hAnsi="Times New Roman" w:cs="Times New Roman"/>
          <w:sz w:val="28"/>
          <w:szCs w:val="28"/>
        </w:rPr>
        <w:t xml:space="preserve">the </w:t>
      </w:r>
      <w:r w:rsidR="00B81FDE" w:rsidRPr="005E476A">
        <w:rPr>
          <w:rFonts w:ascii="Times New Roman" w:hAnsi="Times New Roman" w:cs="Times New Roman"/>
          <w:sz w:val="28"/>
          <w:szCs w:val="28"/>
        </w:rPr>
        <w:t>Board</w:t>
      </w:r>
      <w:r w:rsidR="00DD705D">
        <w:rPr>
          <w:rFonts w:ascii="Times New Roman" w:hAnsi="Times New Roman" w:cs="Times New Roman"/>
          <w:sz w:val="28"/>
          <w:szCs w:val="28"/>
        </w:rPr>
        <w:t>,</w:t>
      </w:r>
      <w:r w:rsidRPr="005E476A">
        <w:rPr>
          <w:rFonts w:ascii="Times New Roman" w:hAnsi="Times New Roman" w:cs="Times New Roman"/>
          <w:sz w:val="28"/>
          <w:szCs w:val="28"/>
        </w:rPr>
        <w:t xml:space="preserve"> even taking a degree of </w:t>
      </w:r>
      <w:r w:rsidRPr="005E476A">
        <w:rPr>
          <w:rFonts w:ascii="Times New Roman" w:hAnsi="Times New Roman" w:cs="Times New Roman"/>
          <w:sz w:val="28"/>
          <w:szCs w:val="28"/>
        </w:rPr>
        <w:lastRenderedPageBreak/>
        <w:t>flexibility or common sense to the issue of the holding of the meeting of the executive committee</w:t>
      </w:r>
      <w:r w:rsidR="00DD705D">
        <w:rPr>
          <w:rFonts w:ascii="Times New Roman" w:hAnsi="Times New Roman" w:cs="Times New Roman"/>
          <w:sz w:val="28"/>
          <w:szCs w:val="28"/>
        </w:rPr>
        <w:t>,</w:t>
      </w:r>
      <w:r w:rsidRPr="005E476A">
        <w:rPr>
          <w:rFonts w:ascii="Times New Roman" w:hAnsi="Times New Roman" w:cs="Times New Roman"/>
          <w:sz w:val="28"/>
          <w:szCs w:val="28"/>
        </w:rPr>
        <w:t xml:space="preserve"> does not find it possible to conclude that the meeting was properly called. </w:t>
      </w:r>
      <w:r w:rsidR="006E2897" w:rsidRPr="005E476A">
        <w:rPr>
          <w:rFonts w:ascii="Times New Roman" w:hAnsi="Times New Roman" w:cs="Times New Roman"/>
          <w:sz w:val="28"/>
          <w:szCs w:val="28"/>
          <w:lang w:val="en-US"/>
        </w:rPr>
        <w:t xml:space="preserve">The proceedings at that meeting in those circumstances could not reasonably be said to reflect the decision of the executive </w:t>
      </w:r>
      <w:proofErr w:type="gramStart"/>
      <w:r w:rsidR="006E2897" w:rsidRPr="005E476A">
        <w:rPr>
          <w:rFonts w:ascii="Times New Roman" w:hAnsi="Times New Roman" w:cs="Times New Roman"/>
          <w:sz w:val="28"/>
          <w:szCs w:val="28"/>
          <w:lang w:val="en-US"/>
        </w:rPr>
        <w:t>committee as a whole</w:t>
      </w:r>
      <w:proofErr w:type="gramEnd"/>
      <w:r w:rsidR="00B01CB5" w:rsidRPr="005E476A">
        <w:rPr>
          <w:rFonts w:ascii="Times New Roman" w:hAnsi="Times New Roman" w:cs="Times New Roman"/>
          <w:sz w:val="28"/>
          <w:szCs w:val="28"/>
          <w:lang w:val="en-US"/>
        </w:rPr>
        <w:t>.</w:t>
      </w:r>
    </w:p>
    <w:p w14:paraId="7F905C60" w14:textId="77777777" w:rsidR="00121EBE" w:rsidRDefault="00121EBE" w:rsidP="00121EBE">
      <w:pPr>
        <w:pStyle w:val="ListParagraph"/>
        <w:spacing w:line="480" w:lineRule="auto"/>
        <w:ind w:left="785"/>
        <w:jc w:val="both"/>
        <w:rPr>
          <w:rFonts w:ascii="Times New Roman" w:hAnsi="Times New Roman" w:cs="Times New Roman"/>
          <w:sz w:val="28"/>
          <w:szCs w:val="28"/>
          <w:lang w:val="en-US"/>
        </w:rPr>
      </w:pPr>
    </w:p>
    <w:p w14:paraId="0F508A20" w14:textId="674C0951" w:rsidR="00B01CB5" w:rsidRDefault="00B01CB5" w:rsidP="00121EBE">
      <w:pPr>
        <w:pStyle w:val="ListParagraph"/>
        <w:numPr>
          <w:ilvl w:val="0"/>
          <w:numId w:val="1"/>
        </w:numPr>
        <w:spacing w:line="480" w:lineRule="auto"/>
        <w:jc w:val="both"/>
        <w:rPr>
          <w:rFonts w:ascii="Times New Roman" w:hAnsi="Times New Roman" w:cs="Times New Roman"/>
          <w:sz w:val="28"/>
          <w:szCs w:val="28"/>
          <w:lang w:val="en-US"/>
        </w:rPr>
      </w:pPr>
      <w:r w:rsidRPr="00121EBE">
        <w:rPr>
          <w:rFonts w:ascii="Times New Roman" w:hAnsi="Times New Roman" w:cs="Times New Roman"/>
          <w:sz w:val="28"/>
          <w:szCs w:val="28"/>
          <w:lang w:val="en-US"/>
        </w:rPr>
        <w:t xml:space="preserve">For completeness, the </w:t>
      </w:r>
      <w:r w:rsidR="00B81FDE" w:rsidRPr="00121EBE">
        <w:rPr>
          <w:rFonts w:ascii="Times New Roman" w:hAnsi="Times New Roman" w:cs="Times New Roman"/>
          <w:sz w:val="28"/>
          <w:szCs w:val="28"/>
          <w:lang w:val="en-US"/>
        </w:rPr>
        <w:t>Board</w:t>
      </w:r>
      <w:r w:rsidRPr="00121EBE">
        <w:rPr>
          <w:rFonts w:ascii="Times New Roman" w:hAnsi="Times New Roman" w:cs="Times New Roman"/>
          <w:sz w:val="28"/>
          <w:szCs w:val="28"/>
          <w:lang w:val="en-US"/>
        </w:rPr>
        <w:t xml:space="preserve"> accepts that there is a sufficient record of the decisions made at the executive meeting.  There is a record of a motion to elect Derek Blighe as chairman, Anthony Casey as president and Sarah Harrity as vice chair. The language used for the executive committee members differs from that for which the constitution provides</w:t>
      </w:r>
      <w:r w:rsidR="00121EBE">
        <w:rPr>
          <w:rFonts w:ascii="Times New Roman" w:hAnsi="Times New Roman" w:cs="Times New Roman"/>
          <w:sz w:val="28"/>
          <w:szCs w:val="28"/>
          <w:lang w:val="en-US"/>
        </w:rPr>
        <w:t>,</w:t>
      </w:r>
      <w:r w:rsidRPr="00121EBE">
        <w:rPr>
          <w:rFonts w:ascii="Times New Roman" w:hAnsi="Times New Roman" w:cs="Times New Roman"/>
          <w:sz w:val="28"/>
          <w:szCs w:val="28"/>
          <w:lang w:val="en-US"/>
        </w:rPr>
        <w:t xml:space="preserve"> but for the present purposes one can assume that the reference to the “president” is to the party leader.</w:t>
      </w:r>
    </w:p>
    <w:p w14:paraId="1158C6DD" w14:textId="77777777" w:rsidR="00121EBE" w:rsidRPr="00121EBE" w:rsidRDefault="00121EBE" w:rsidP="00121EBE">
      <w:pPr>
        <w:pStyle w:val="ListParagraph"/>
        <w:rPr>
          <w:rFonts w:ascii="Times New Roman" w:hAnsi="Times New Roman" w:cs="Times New Roman"/>
          <w:sz w:val="28"/>
          <w:szCs w:val="28"/>
          <w:lang w:val="en-US"/>
        </w:rPr>
      </w:pPr>
    </w:p>
    <w:p w14:paraId="35336FE7" w14:textId="3C4F4A6F" w:rsidR="00121EBE" w:rsidRDefault="00121EBE" w:rsidP="00121EBE">
      <w:pPr>
        <w:pStyle w:val="ListParagraph"/>
        <w:numPr>
          <w:ilvl w:val="0"/>
          <w:numId w:val="1"/>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Whilst the Board is not satisfied that reasonable notice was given</w:t>
      </w:r>
      <w:r w:rsidR="002F7F0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of the intention to hold a meeting of the executive committee which preceded the meeting of members, it considers it prudent to consider also the meeting of the membership at which were taken the relevant decisions under appeal.  It is this meeting above all that was flawed in a critical and fatal manner.  </w:t>
      </w:r>
    </w:p>
    <w:p w14:paraId="19E92FE4" w14:textId="77777777" w:rsidR="00121EBE" w:rsidRPr="00121EBE" w:rsidRDefault="00121EBE" w:rsidP="00121EBE">
      <w:pPr>
        <w:pStyle w:val="ListParagraph"/>
        <w:rPr>
          <w:rFonts w:ascii="Times New Roman" w:hAnsi="Times New Roman" w:cs="Times New Roman"/>
          <w:sz w:val="28"/>
          <w:szCs w:val="28"/>
          <w:lang w:val="en-US"/>
        </w:rPr>
      </w:pPr>
    </w:p>
    <w:p w14:paraId="2A68DCB8" w14:textId="595CCE37" w:rsidR="00187505" w:rsidRPr="00121EBE" w:rsidRDefault="006E2897" w:rsidP="00121EBE">
      <w:pPr>
        <w:spacing w:line="480" w:lineRule="auto"/>
        <w:jc w:val="both"/>
        <w:rPr>
          <w:rFonts w:ascii="Times New Roman" w:hAnsi="Times New Roman" w:cs="Times New Roman"/>
          <w:sz w:val="28"/>
          <w:szCs w:val="28"/>
          <w:lang w:val="en-US"/>
        </w:rPr>
      </w:pPr>
      <w:r w:rsidRPr="00121EBE">
        <w:rPr>
          <w:rFonts w:ascii="Times New Roman" w:hAnsi="Times New Roman" w:cs="Times New Roman"/>
          <w:b/>
          <w:bCs/>
          <w:sz w:val="28"/>
          <w:szCs w:val="28"/>
        </w:rPr>
        <w:t>The meeting of the party members: was notice adequate?</w:t>
      </w:r>
    </w:p>
    <w:p w14:paraId="212A7764" w14:textId="77777777" w:rsidR="00121EBE" w:rsidRPr="00121EBE" w:rsidRDefault="00121EBE" w:rsidP="00121EBE">
      <w:pPr>
        <w:pStyle w:val="ListParagraph"/>
        <w:rPr>
          <w:rFonts w:ascii="Times New Roman" w:hAnsi="Times New Roman" w:cs="Times New Roman"/>
          <w:sz w:val="28"/>
          <w:szCs w:val="28"/>
          <w:lang w:val="en-US"/>
        </w:rPr>
      </w:pPr>
    </w:p>
    <w:p w14:paraId="72CB3D42" w14:textId="0855AB1F" w:rsidR="006E2897" w:rsidRDefault="006E2897" w:rsidP="00121EBE">
      <w:pPr>
        <w:pStyle w:val="ListParagraph"/>
        <w:numPr>
          <w:ilvl w:val="0"/>
          <w:numId w:val="1"/>
        </w:numPr>
        <w:spacing w:line="480" w:lineRule="auto"/>
        <w:jc w:val="both"/>
        <w:rPr>
          <w:rFonts w:ascii="Times New Roman" w:hAnsi="Times New Roman" w:cs="Times New Roman"/>
          <w:sz w:val="28"/>
          <w:szCs w:val="28"/>
          <w:lang w:val="en-US"/>
        </w:rPr>
      </w:pPr>
      <w:r w:rsidRPr="00121EBE">
        <w:rPr>
          <w:rFonts w:ascii="Times New Roman" w:hAnsi="Times New Roman" w:cs="Times New Roman"/>
          <w:sz w:val="28"/>
          <w:szCs w:val="28"/>
          <w:lang w:val="en-US"/>
        </w:rPr>
        <w:t>The meeting of members was notified through an e-mail to “</w:t>
      </w:r>
      <w:r w:rsidRPr="00121EBE">
        <w:rPr>
          <w:rFonts w:ascii="Times New Roman" w:hAnsi="Times New Roman" w:cs="Times New Roman"/>
          <w:i/>
          <w:iCs/>
          <w:sz w:val="28"/>
          <w:szCs w:val="28"/>
          <w:lang w:val="en-US"/>
        </w:rPr>
        <w:t>membershipIreland First i.e.”</w:t>
      </w:r>
      <w:r w:rsidR="00121EBE">
        <w:rPr>
          <w:rFonts w:ascii="Times New Roman" w:hAnsi="Times New Roman" w:cs="Times New Roman"/>
          <w:sz w:val="28"/>
          <w:szCs w:val="28"/>
          <w:lang w:val="en-US"/>
        </w:rPr>
        <w:t xml:space="preserve"> </w:t>
      </w:r>
      <w:r w:rsidRPr="00121EBE">
        <w:rPr>
          <w:rFonts w:ascii="Times New Roman" w:hAnsi="Times New Roman" w:cs="Times New Roman"/>
          <w:sz w:val="28"/>
          <w:szCs w:val="28"/>
          <w:lang w:val="en-US"/>
        </w:rPr>
        <w:t>where the meeting was described as “important”, the items on the agenda were “key updates” “strategic plans” and “upcoming initiatives”</w:t>
      </w:r>
      <w:r w:rsidR="00DD705D">
        <w:rPr>
          <w:rFonts w:ascii="Times New Roman" w:hAnsi="Times New Roman" w:cs="Times New Roman"/>
          <w:sz w:val="28"/>
          <w:szCs w:val="28"/>
          <w:lang w:val="en-US"/>
        </w:rPr>
        <w:t>.</w:t>
      </w:r>
    </w:p>
    <w:p w14:paraId="621CA9EF" w14:textId="77777777" w:rsidR="00DD705D" w:rsidRDefault="00DD705D" w:rsidP="00DD705D">
      <w:pPr>
        <w:pStyle w:val="ListParagraph"/>
        <w:spacing w:line="480" w:lineRule="auto"/>
        <w:ind w:left="785"/>
        <w:jc w:val="both"/>
        <w:rPr>
          <w:rFonts w:ascii="Times New Roman" w:hAnsi="Times New Roman" w:cs="Times New Roman"/>
          <w:sz w:val="28"/>
          <w:szCs w:val="28"/>
          <w:lang w:val="en-US"/>
        </w:rPr>
      </w:pPr>
    </w:p>
    <w:p w14:paraId="046BE26B" w14:textId="4B8E3416" w:rsidR="006E2897" w:rsidRDefault="006E2897" w:rsidP="00DD705D">
      <w:pPr>
        <w:pStyle w:val="ListParagraph"/>
        <w:numPr>
          <w:ilvl w:val="0"/>
          <w:numId w:val="1"/>
        </w:numPr>
        <w:spacing w:line="480" w:lineRule="auto"/>
        <w:jc w:val="both"/>
        <w:rPr>
          <w:rFonts w:ascii="Times New Roman" w:hAnsi="Times New Roman" w:cs="Times New Roman"/>
          <w:sz w:val="28"/>
          <w:szCs w:val="28"/>
          <w:lang w:val="en-US"/>
        </w:rPr>
      </w:pPr>
      <w:r w:rsidRPr="00DD705D">
        <w:rPr>
          <w:rFonts w:ascii="Times New Roman" w:hAnsi="Times New Roman" w:cs="Times New Roman"/>
          <w:sz w:val="28"/>
          <w:szCs w:val="28"/>
          <w:lang w:val="en-US"/>
        </w:rPr>
        <w:t>The date of the meeting was stated as Sunday 16</w:t>
      </w:r>
      <w:r w:rsidR="002F7F0C">
        <w:rPr>
          <w:rFonts w:ascii="Times New Roman" w:hAnsi="Times New Roman" w:cs="Times New Roman"/>
          <w:sz w:val="28"/>
          <w:szCs w:val="28"/>
          <w:lang w:val="en-US"/>
        </w:rPr>
        <w:t xml:space="preserve"> February 2025 </w:t>
      </w:r>
      <w:r w:rsidRPr="00DD705D">
        <w:rPr>
          <w:rFonts w:ascii="Times New Roman" w:hAnsi="Times New Roman" w:cs="Times New Roman"/>
          <w:sz w:val="28"/>
          <w:szCs w:val="28"/>
          <w:lang w:val="en-US"/>
        </w:rPr>
        <w:t>and a Zoom link provided. It is not clear from the e-mail when it was sent, but it is possible to extrapolate that it was sent on or about the 14</w:t>
      </w:r>
      <w:r w:rsidRPr="00DD705D">
        <w:rPr>
          <w:rFonts w:ascii="Times New Roman" w:hAnsi="Times New Roman" w:cs="Times New Roman"/>
          <w:sz w:val="28"/>
          <w:szCs w:val="28"/>
          <w:vertAlign w:val="superscript"/>
          <w:lang w:val="en-US"/>
        </w:rPr>
        <w:t xml:space="preserve"> </w:t>
      </w:r>
      <w:r w:rsidRPr="00DD705D">
        <w:rPr>
          <w:rFonts w:ascii="Times New Roman" w:hAnsi="Times New Roman" w:cs="Times New Roman"/>
          <w:sz w:val="28"/>
          <w:szCs w:val="28"/>
          <w:lang w:val="en-US"/>
        </w:rPr>
        <w:t>February</w:t>
      </w:r>
      <w:r w:rsidR="004D48A1" w:rsidRPr="00DD705D">
        <w:rPr>
          <w:rFonts w:ascii="Times New Roman" w:hAnsi="Times New Roman" w:cs="Times New Roman"/>
          <w:sz w:val="28"/>
          <w:szCs w:val="28"/>
          <w:lang w:val="en-US"/>
        </w:rPr>
        <w:t xml:space="preserve"> 2025</w:t>
      </w:r>
      <w:r w:rsidRPr="00DD705D">
        <w:rPr>
          <w:rFonts w:ascii="Times New Roman" w:hAnsi="Times New Roman" w:cs="Times New Roman"/>
          <w:sz w:val="28"/>
          <w:szCs w:val="28"/>
          <w:lang w:val="en-US"/>
        </w:rPr>
        <w:t xml:space="preserve">. </w:t>
      </w:r>
    </w:p>
    <w:p w14:paraId="1DB01EBF" w14:textId="77777777" w:rsidR="00DD705D" w:rsidRPr="00DD705D" w:rsidRDefault="00DD705D" w:rsidP="00DD705D">
      <w:pPr>
        <w:pStyle w:val="ListParagraph"/>
        <w:rPr>
          <w:rFonts w:ascii="Times New Roman" w:hAnsi="Times New Roman" w:cs="Times New Roman"/>
          <w:sz w:val="28"/>
          <w:szCs w:val="28"/>
          <w:lang w:val="en-US"/>
        </w:rPr>
      </w:pPr>
    </w:p>
    <w:p w14:paraId="5B2642AB" w14:textId="77777777" w:rsidR="009A26E6" w:rsidRDefault="009A26E6" w:rsidP="00DD705D">
      <w:pPr>
        <w:pStyle w:val="ListParagraph"/>
        <w:numPr>
          <w:ilvl w:val="0"/>
          <w:numId w:val="1"/>
        </w:numPr>
        <w:spacing w:line="480" w:lineRule="auto"/>
        <w:jc w:val="both"/>
        <w:rPr>
          <w:rFonts w:ascii="Times New Roman" w:hAnsi="Times New Roman" w:cs="Times New Roman"/>
          <w:sz w:val="28"/>
          <w:szCs w:val="28"/>
          <w:lang w:val="en-US"/>
        </w:rPr>
      </w:pPr>
      <w:r w:rsidRPr="00DD705D">
        <w:rPr>
          <w:rFonts w:ascii="Times New Roman" w:hAnsi="Times New Roman" w:cs="Times New Roman"/>
          <w:sz w:val="28"/>
          <w:szCs w:val="28"/>
          <w:lang w:val="en-US"/>
        </w:rPr>
        <w:t xml:space="preserve">It is not disputed that some </w:t>
      </w:r>
      <w:proofErr w:type="gramStart"/>
      <w:r w:rsidRPr="00DD705D">
        <w:rPr>
          <w:rFonts w:ascii="Times New Roman" w:hAnsi="Times New Roman" w:cs="Times New Roman"/>
          <w:sz w:val="28"/>
          <w:szCs w:val="28"/>
          <w:lang w:val="en-US"/>
        </w:rPr>
        <w:t>fault</w:t>
      </w:r>
      <w:proofErr w:type="gramEnd"/>
      <w:r w:rsidRPr="00DD705D">
        <w:rPr>
          <w:rFonts w:ascii="Times New Roman" w:hAnsi="Times New Roman" w:cs="Times New Roman"/>
          <w:sz w:val="28"/>
          <w:szCs w:val="28"/>
          <w:lang w:val="en-US"/>
        </w:rPr>
        <w:t xml:space="preserve"> in the IT system of the Party had resulted in erroneous communication to some members that their membership had been cancelled. It does not matter for the purposes of this appeal why this error occurred, but in the days leading up to the meeting some members, and again it does not matter how many, received a notification of the cancellation of their membership although they were at the time fully paid-up members.</w:t>
      </w:r>
    </w:p>
    <w:p w14:paraId="68CB87D8" w14:textId="77777777" w:rsidR="00DD705D" w:rsidRPr="00DD705D" w:rsidRDefault="00DD705D" w:rsidP="00DD705D">
      <w:pPr>
        <w:pStyle w:val="ListParagraph"/>
        <w:rPr>
          <w:rFonts w:ascii="Times New Roman" w:hAnsi="Times New Roman" w:cs="Times New Roman"/>
          <w:sz w:val="28"/>
          <w:szCs w:val="28"/>
          <w:lang w:val="en-US"/>
        </w:rPr>
      </w:pPr>
    </w:p>
    <w:p w14:paraId="739E45CD" w14:textId="0DCB1490" w:rsidR="00410256" w:rsidRDefault="00410256" w:rsidP="00DD705D">
      <w:pPr>
        <w:pStyle w:val="ListParagraph"/>
        <w:numPr>
          <w:ilvl w:val="0"/>
          <w:numId w:val="1"/>
        </w:numPr>
        <w:spacing w:line="480" w:lineRule="auto"/>
        <w:jc w:val="both"/>
        <w:rPr>
          <w:rFonts w:ascii="Times New Roman" w:hAnsi="Times New Roman" w:cs="Times New Roman"/>
          <w:sz w:val="28"/>
          <w:szCs w:val="28"/>
          <w:lang w:val="en-US"/>
        </w:rPr>
      </w:pPr>
      <w:r w:rsidRPr="00DD705D">
        <w:rPr>
          <w:rFonts w:ascii="Times New Roman" w:hAnsi="Times New Roman" w:cs="Times New Roman"/>
          <w:sz w:val="28"/>
          <w:szCs w:val="28"/>
          <w:lang w:val="en-US"/>
        </w:rPr>
        <w:t xml:space="preserve">The </w:t>
      </w:r>
      <w:r w:rsidR="00B81FDE" w:rsidRPr="00DD705D">
        <w:rPr>
          <w:rFonts w:ascii="Times New Roman" w:hAnsi="Times New Roman" w:cs="Times New Roman"/>
          <w:sz w:val="28"/>
          <w:szCs w:val="28"/>
          <w:lang w:val="en-US"/>
        </w:rPr>
        <w:t>Board</w:t>
      </w:r>
      <w:r w:rsidRPr="00DD705D">
        <w:rPr>
          <w:rFonts w:ascii="Times New Roman" w:hAnsi="Times New Roman" w:cs="Times New Roman"/>
          <w:sz w:val="28"/>
          <w:szCs w:val="28"/>
          <w:lang w:val="en-US"/>
        </w:rPr>
        <w:t xml:space="preserve"> accepts the argument of </w:t>
      </w:r>
      <w:r w:rsidR="00187505" w:rsidRPr="00DD705D">
        <w:rPr>
          <w:rFonts w:ascii="Times New Roman" w:hAnsi="Times New Roman" w:cs="Times New Roman"/>
          <w:sz w:val="28"/>
          <w:szCs w:val="28"/>
          <w:lang w:val="en-US"/>
        </w:rPr>
        <w:t xml:space="preserve">Ms. </w:t>
      </w:r>
      <w:r w:rsidRPr="00DD705D">
        <w:rPr>
          <w:rFonts w:ascii="Times New Roman" w:hAnsi="Times New Roman" w:cs="Times New Roman"/>
          <w:sz w:val="28"/>
          <w:szCs w:val="28"/>
          <w:lang w:val="en-US"/>
        </w:rPr>
        <w:t>Maguire that</w:t>
      </w:r>
      <w:r w:rsidR="006E2897" w:rsidRPr="00DD705D">
        <w:rPr>
          <w:rFonts w:ascii="Times New Roman" w:hAnsi="Times New Roman" w:cs="Times New Roman"/>
          <w:sz w:val="28"/>
          <w:szCs w:val="28"/>
          <w:lang w:val="en-US"/>
        </w:rPr>
        <w:t>,</w:t>
      </w:r>
      <w:r w:rsidRPr="00DD705D">
        <w:rPr>
          <w:rFonts w:ascii="Times New Roman" w:hAnsi="Times New Roman" w:cs="Times New Roman"/>
          <w:sz w:val="28"/>
          <w:szCs w:val="28"/>
          <w:lang w:val="en-US"/>
        </w:rPr>
        <w:t xml:space="preserve"> while</w:t>
      </w:r>
      <w:r w:rsidR="00187505" w:rsidRPr="00DD705D">
        <w:rPr>
          <w:rFonts w:ascii="Times New Roman" w:hAnsi="Times New Roman" w:cs="Times New Roman"/>
          <w:sz w:val="28"/>
          <w:szCs w:val="28"/>
          <w:lang w:val="en-US"/>
        </w:rPr>
        <w:t xml:space="preserve"> Ms.</w:t>
      </w:r>
      <w:r w:rsidRPr="00DD705D">
        <w:rPr>
          <w:rFonts w:ascii="Times New Roman" w:hAnsi="Times New Roman" w:cs="Times New Roman"/>
          <w:sz w:val="28"/>
          <w:szCs w:val="28"/>
          <w:lang w:val="en-US"/>
        </w:rPr>
        <w:t xml:space="preserve"> </w:t>
      </w:r>
      <w:r w:rsidR="00C6149E" w:rsidRPr="00DD705D">
        <w:rPr>
          <w:rFonts w:ascii="Times New Roman" w:hAnsi="Times New Roman" w:cs="Times New Roman"/>
          <w:sz w:val="28"/>
          <w:szCs w:val="28"/>
          <w:lang w:val="en-US"/>
        </w:rPr>
        <w:t>Herraty</w:t>
      </w:r>
      <w:r w:rsidRPr="00DD705D">
        <w:rPr>
          <w:rFonts w:ascii="Times New Roman" w:hAnsi="Times New Roman" w:cs="Times New Roman"/>
          <w:sz w:val="28"/>
          <w:szCs w:val="28"/>
          <w:lang w:val="en-US"/>
        </w:rPr>
        <w:t xml:space="preserve"> attributes membership cancellations to administrative or technical issues</w:t>
      </w:r>
      <w:r w:rsidR="006E2897" w:rsidRPr="00DD705D">
        <w:rPr>
          <w:rFonts w:ascii="Times New Roman" w:hAnsi="Times New Roman" w:cs="Times New Roman"/>
          <w:sz w:val="28"/>
          <w:szCs w:val="28"/>
          <w:lang w:val="en-US"/>
        </w:rPr>
        <w:t>, the fact remains that</w:t>
      </w:r>
      <w:r w:rsidRPr="00DD705D">
        <w:rPr>
          <w:rFonts w:ascii="Times New Roman" w:hAnsi="Times New Roman" w:cs="Times New Roman"/>
          <w:sz w:val="28"/>
          <w:szCs w:val="28"/>
          <w:lang w:val="en-US"/>
        </w:rPr>
        <w:t xml:space="preserve"> members received </w:t>
      </w:r>
      <w:r w:rsidR="00DD705D">
        <w:rPr>
          <w:rFonts w:ascii="Times New Roman" w:hAnsi="Times New Roman" w:cs="Times New Roman"/>
          <w:sz w:val="28"/>
          <w:szCs w:val="28"/>
          <w:lang w:val="en-US"/>
        </w:rPr>
        <w:t xml:space="preserve">erroneous </w:t>
      </w:r>
      <w:r w:rsidRPr="00DD705D">
        <w:rPr>
          <w:rFonts w:ascii="Times New Roman" w:hAnsi="Times New Roman" w:cs="Times New Roman"/>
          <w:sz w:val="28"/>
          <w:szCs w:val="28"/>
          <w:lang w:val="en-US"/>
        </w:rPr>
        <w:t>communication indicating that their</w:t>
      </w:r>
      <w:r w:rsidR="00DD705D">
        <w:rPr>
          <w:rFonts w:ascii="Times New Roman" w:hAnsi="Times New Roman" w:cs="Times New Roman"/>
          <w:sz w:val="28"/>
          <w:szCs w:val="28"/>
          <w:lang w:val="en-US"/>
        </w:rPr>
        <w:t xml:space="preserve"> </w:t>
      </w:r>
      <w:r w:rsidRPr="00DD705D">
        <w:rPr>
          <w:rFonts w:ascii="Times New Roman" w:hAnsi="Times New Roman" w:cs="Times New Roman"/>
          <w:sz w:val="28"/>
          <w:szCs w:val="28"/>
          <w:lang w:val="en-US"/>
        </w:rPr>
        <w:t>memberships had been cancelled, materially affecting their understanding of their status, and had</w:t>
      </w:r>
      <w:r w:rsidR="002F7F0C">
        <w:rPr>
          <w:rFonts w:ascii="Times New Roman" w:hAnsi="Times New Roman" w:cs="Times New Roman"/>
          <w:sz w:val="28"/>
          <w:szCs w:val="28"/>
          <w:lang w:val="en-US"/>
        </w:rPr>
        <w:t>,</w:t>
      </w:r>
      <w:r w:rsidRPr="00DD705D">
        <w:rPr>
          <w:rFonts w:ascii="Times New Roman" w:hAnsi="Times New Roman" w:cs="Times New Roman"/>
          <w:sz w:val="28"/>
          <w:szCs w:val="28"/>
          <w:lang w:val="en-US"/>
        </w:rPr>
        <w:t xml:space="preserve"> </w:t>
      </w:r>
      <w:r w:rsidR="002F7F0C">
        <w:rPr>
          <w:rFonts w:ascii="Times New Roman" w:hAnsi="Times New Roman" w:cs="Times New Roman"/>
          <w:sz w:val="28"/>
          <w:szCs w:val="28"/>
          <w:lang w:val="en-US"/>
        </w:rPr>
        <w:t>or could have had, t</w:t>
      </w:r>
      <w:r w:rsidRPr="00DD705D">
        <w:rPr>
          <w:rFonts w:ascii="Times New Roman" w:hAnsi="Times New Roman" w:cs="Times New Roman"/>
          <w:sz w:val="28"/>
          <w:szCs w:val="28"/>
          <w:lang w:val="en-US"/>
        </w:rPr>
        <w:t xml:space="preserve">he effect </w:t>
      </w:r>
      <w:r w:rsidRPr="00DD705D">
        <w:rPr>
          <w:rFonts w:ascii="Times New Roman" w:hAnsi="Times New Roman" w:cs="Times New Roman"/>
          <w:sz w:val="28"/>
          <w:szCs w:val="28"/>
          <w:lang w:val="en-US"/>
        </w:rPr>
        <w:lastRenderedPageBreak/>
        <w:t xml:space="preserve">that they were excluded from a pivotal governance meeting. </w:t>
      </w:r>
      <w:r w:rsidR="00416FB6">
        <w:rPr>
          <w:rFonts w:ascii="Times New Roman" w:hAnsi="Times New Roman" w:cs="Times New Roman"/>
          <w:sz w:val="28"/>
          <w:szCs w:val="28"/>
          <w:lang w:val="en-US"/>
        </w:rPr>
        <w:t>A</w:t>
      </w:r>
      <w:r w:rsidRPr="00DD705D">
        <w:rPr>
          <w:rFonts w:ascii="Times New Roman" w:hAnsi="Times New Roman" w:cs="Times New Roman"/>
          <w:sz w:val="28"/>
          <w:szCs w:val="28"/>
          <w:lang w:val="en-US"/>
        </w:rPr>
        <w:t xml:space="preserve">ny leadership or governance meeting ought to have been deferred until all members, including committee members, were contacted and the positions clarified. </w:t>
      </w:r>
    </w:p>
    <w:p w14:paraId="6ED12349" w14:textId="77777777" w:rsidR="00DD705D" w:rsidRPr="00DD705D" w:rsidRDefault="00DD705D" w:rsidP="00DD705D">
      <w:pPr>
        <w:pStyle w:val="ListParagraph"/>
        <w:rPr>
          <w:rFonts w:ascii="Times New Roman" w:hAnsi="Times New Roman" w:cs="Times New Roman"/>
          <w:sz w:val="28"/>
          <w:szCs w:val="28"/>
          <w:lang w:val="en-US"/>
        </w:rPr>
      </w:pPr>
    </w:p>
    <w:p w14:paraId="39E42720" w14:textId="77777777" w:rsidR="00416FB6" w:rsidRDefault="00416FB6" w:rsidP="00416FB6">
      <w:pPr>
        <w:pStyle w:val="ListParagraph"/>
        <w:numPr>
          <w:ilvl w:val="0"/>
          <w:numId w:val="1"/>
        </w:numPr>
        <w:spacing w:line="480" w:lineRule="auto"/>
        <w:jc w:val="both"/>
        <w:rPr>
          <w:rFonts w:ascii="Times New Roman" w:hAnsi="Times New Roman" w:cs="Times New Roman"/>
          <w:sz w:val="28"/>
          <w:szCs w:val="28"/>
          <w:lang w:val="en-US"/>
        </w:rPr>
      </w:pPr>
      <w:r w:rsidRPr="00DD705D">
        <w:rPr>
          <w:rFonts w:ascii="Times New Roman" w:hAnsi="Times New Roman" w:cs="Times New Roman"/>
          <w:sz w:val="28"/>
          <w:szCs w:val="28"/>
          <w:lang w:val="en-US"/>
        </w:rPr>
        <w:t xml:space="preserve">Ms. Herraty makes the argument, although she offers no evidence to support the proposition, that </w:t>
      </w:r>
      <w:r w:rsidRPr="00DD705D">
        <w:rPr>
          <w:rFonts w:ascii="Times New Roman" w:hAnsi="Times New Roman" w:cs="Times New Roman"/>
          <w:i/>
          <w:iCs/>
          <w:sz w:val="28"/>
          <w:szCs w:val="28"/>
          <w:lang w:val="en-US"/>
        </w:rPr>
        <w:t>at most</w:t>
      </w:r>
      <w:r w:rsidRPr="00DD705D">
        <w:rPr>
          <w:rFonts w:ascii="Times New Roman" w:hAnsi="Times New Roman" w:cs="Times New Roman"/>
          <w:sz w:val="28"/>
          <w:szCs w:val="28"/>
          <w:lang w:val="en-US"/>
        </w:rPr>
        <w:t xml:space="preserve"> 20 members of the of the members were not “captured from the export from the system those”. </w:t>
      </w:r>
      <w:proofErr w:type="gramStart"/>
      <w:r w:rsidRPr="00DD705D">
        <w:rPr>
          <w:rFonts w:ascii="Times New Roman" w:hAnsi="Times New Roman" w:cs="Times New Roman"/>
          <w:sz w:val="28"/>
          <w:szCs w:val="28"/>
          <w:lang w:val="en-US"/>
        </w:rPr>
        <w:t>The most she furnished</w:t>
      </w:r>
      <w:proofErr w:type="gramEnd"/>
      <w:r w:rsidRPr="00DD705D">
        <w:rPr>
          <w:rFonts w:ascii="Times New Roman" w:hAnsi="Times New Roman" w:cs="Times New Roman"/>
          <w:sz w:val="28"/>
          <w:szCs w:val="28"/>
          <w:lang w:val="en-US"/>
        </w:rPr>
        <w:t xml:space="preserve"> by way of evidence is a screenshot showing the names and e-mail addresses of 19 </w:t>
      </w:r>
      <w:proofErr w:type="gramStart"/>
      <w:r w:rsidRPr="00DD705D">
        <w:rPr>
          <w:rFonts w:ascii="Times New Roman" w:hAnsi="Times New Roman" w:cs="Times New Roman"/>
          <w:sz w:val="28"/>
          <w:szCs w:val="28"/>
          <w:lang w:val="en-US"/>
        </w:rPr>
        <w:t>persons</w:t>
      </w:r>
      <w:proofErr w:type="gramEnd"/>
      <w:r w:rsidRPr="00DD705D">
        <w:rPr>
          <w:rFonts w:ascii="Times New Roman" w:hAnsi="Times New Roman" w:cs="Times New Roman"/>
          <w:sz w:val="28"/>
          <w:szCs w:val="28"/>
          <w:lang w:val="en-US"/>
        </w:rPr>
        <w:t xml:space="preserve">. A party must have </w:t>
      </w:r>
      <w:proofErr w:type="gramStart"/>
      <w:r w:rsidRPr="00DD705D">
        <w:rPr>
          <w:rFonts w:ascii="Times New Roman" w:hAnsi="Times New Roman" w:cs="Times New Roman"/>
          <w:sz w:val="28"/>
          <w:szCs w:val="28"/>
          <w:lang w:val="en-US"/>
        </w:rPr>
        <w:t>a least</w:t>
      </w:r>
      <w:proofErr w:type="gramEnd"/>
      <w:r w:rsidRPr="00DD705D">
        <w:rPr>
          <w:rFonts w:ascii="Times New Roman" w:hAnsi="Times New Roman" w:cs="Times New Roman"/>
          <w:sz w:val="28"/>
          <w:szCs w:val="28"/>
          <w:lang w:val="en-US"/>
        </w:rPr>
        <w:t xml:space="preserve"> 300 members to be registered under the Act</w:t>
      </w:r>
      <w:r>
        <w:rPr>
          <w:rFonts w:ascii="Times New Roman" w:hAnsi="Times New Roman" w:cs="Times New Roman"/>
          <w:sz w:val="28"/>
          <w:szCs w:val="28"/>
          <w:lang w:val="en-US"/>
        </w:rPr>
        <w:t xml:space="preserve">, </w:t>
      </w:r>
      <w:r w:rsidRPr="00DD705D">
        <w:rPr>
          <w:rFonts w:ascii="Times New Roman" w:hAnsi="Times New Roman" w:cs="Times New Roman"/>
          <w:sz w:val="28"/>
          <w:szCs w:val="28"/>
          <w:lang w:val="en-US"/>
        </w:rPr>
        <w:t xml:space="preserve">and attendance </w:t>
      </w:r>
      <w:r>
        <w:rPr>
          <w:rFonts w:ascii="Times New Roman" w:hAnsi="Times New Roman" w:cs="Times New Roman"/>
          <w:sz w:val="28"/>
          <w:szCs w:val="28"/>
          <w:lang w:val="en-US"/>
        </w:rPr>
        <w:t xml:space="preserve">at the meeting of members </w:t>
      </w:r>
      <w:r w:rsidRPr="00DD705D">
        <w:rPr>
          <w:rFonts w:ascii="Times New Roman" w:hAnsi="Times New Roman" w:cs="Times New Roman"/>
          <w:sz w:val="28"/>
          <w:szCs w:val="28"/>
          <w:lang w:val="en-US"/>
        </w:rPr>
        <w:t xml:space="preserve">was very low indeed. The low attendance should have been a matter of concern for the organisers and is of significance to this appeal. </w:t>
      </w:r>
    </w:p>
    <w:p w14:paraId="7535A7E7" w14:textId="77777777" w:rsidR="00416FB6" w:rsidRPr="00416FB6" w:rsidRDefault="00416FB6" w:rsidP="00416FB6">
      <w:pPr>
        <w:pStyle w:val="ListParagraph"/>
        <w:rPr>
          <w:rFonts w:ascii="Times New Roman" w:hAnsi="Times New Roman" w:cs="Times New Roman"/>
          <w:sz w:val="28"/>
          <w:szCs w:val="28"/>
          <w:lang w:val="en-US"/>
        </w:rPr>
      </w:pPr>
    </w:p>
    <w:p w14:paraId="0DEA6BC9" w14:textId="77777777" w:rsidR="00416FB6" w:rsidRDefault="00416FB6" w:rsidP="00416FB6">
      <w:pPr>
        <w:pStyle w:val="ListParagraph"/>
        <w:spacing w:line="480" w:lineRule="auto"/>
        <w:ind w:left="785"/>
        <w:jc w:val="both"/>
        <w:rPr>
          <w:rFonts w:ascii="Times New Roman" w:hAnsi="Times New Roman" w:cs="Times New Roman"/>
          <w:sz w:val="28"/>
          <w:szCs w:val="28"/>
          <w:lang w:val="en-US"/>
        </w:rPr>
      </w:pPr>
    </w:p>
    <w:p w14:paraId="14A703E5" w14:textId="5C23553D" w:rsidR="00B01CB5" w:rsidRDefault="00AE44B9" w:rsidP="00DD705D">
      <w:pPr>
        <w:pStyle w:val="ListParagraph"/>
        <w:numPr>
          <w:ilvl w:val="0"/>
          <w:numId w:val="1"/>
        </w:numPr>
        <w:spacing w:line="480" w:lineRule="auto"/>
        <w:jc w:val="both"/>
        <w:rPr>
          <w:rFonts w:ascii="Times New Roman" w:hAnsi="Times New Roman" w:cs="Times New Roman"/>
          <w:sz w:val="28"/>
          <w:szCs w:val="28"/>
          <w:lang w:val="en-US"/>
        </w:rPr>
      </w:pPr>
      <w:r w:rsidRPr="00DD705D">
        <w:rPr>
          <w:rFonts w:ascii="Times New Roman" w:hAnsi="Times New Roman" w:cs="Times New Roman"/>
          <w:sz w:val="28"/>
          <w:szCs w:val="28"/>
          <w:lang w:val="en-US"/>
        </w:rPr>
        <w:t>Ms.</w:t>
      </w:r>
      <w:r w:rsidR="00556B03" w:rsidRPr="00DD705D">
        <w:rPr>
          <w:rFonts w:ascii="Times New Roman" w:hAnsi="Times New Roman" w:cs="Times New Roman"/>
          <w:sz w:val="28"/>
          <w:szCs w:val="28"/>
          <w:lang w:val="en-US"/>
        </w:rPr>
        <w:t xml:space="preserve"> </w:t>
      </w:r>
      <w:r w:rsidR="00C6149E" w:rsidRPr="00DD705D">
        <w:rPr>
          <w:rFonts w:ascii="Times New Roman" w:hAnsi="Times New Roman" w:cs="Times New Roman"/>
          <w:sz w:val="28"/>
          <w:szCs w:val="28"/>
          <w:lang w:val="en-US"/>
        </w:rPr>
        <w:t>Herraty</w:t>
      </w:r>
      <w:r w:rsidR="00556B03" w:rsidRPr="00DD705D">
        <w:rPr>
          <w:rFonts w:ascii="Times New Roman" w:hAnsi="Times New Roman" w:cs="Times New Roman"/>
          <w:sz w:val="28"/>
          <w:szCs w:val="28"/>
          <w:lang w:val="en-US"/>
        </w:rPr>
        <w:t xml:space="preserve"> made the point that “short notice was standard operating procedures for all meetings” but also noted that it had initially been thought that the meeting should be “1 1/2 weeks later on 23rd February 2025” but that “Derek was pushing to have the meeting ASAP and therefore we settled on Sunday 16th February 2025</w:t>
      </w:r>
      <w:r w:rsidR="00BC177E" w:rsidRPr="00DD705D">
        <w:rPr>
          <w:rFonts w:ascii="Times New Roman" w:hAnsi="Times New Roman" w:cs="Times New Roman"/>
          <w:sz w:val="28"/>
          <w:szCs w:val="28"/>
          <w:lang w:val="en-US"/>
        </w:rPr>
        <w:t>”</w:t>
      </w:r>
      <w:r w:rsidR="00556B03" w:rsidRPr="00DD705D">
        <w:rPr>
          <w:rFonts w:ascii="Times New Roman" w:hAnsi="Times New Roman" w:cs="Times New Roman"/>
          <w:sz w:val="28"/>
          <w:szCs w:val="28"/>
          <w:lang w:val="en-US"/>
        </w:rPr>
        <w:t>. This suggests that it was the intention at the meeting to deal with the election of the executive committee</w:t>
      </w:r>
      <w:r w:rsidR="00DD705D">
        <w:rPr>
          <w:rFonts w:ascii="Times New Roman" w:hAnsi="Times New Roman" w:cs="Times New Roman"/>
          <w:sz w:val="28"/>
          <w:szCs w:val="28"/>
          <w:lang w:val="en-US"/>
        </w:rPr>
        <w:t>,</w:t>
      </w:r>
      <w:r w:rsidR="00556B03" w:rsidRPr="00DD705D">
        <w:rPr>
          <w:rFonts w:ascii="Times New Roman" w:hAnsi="Times New Roman" w:cs="Times New Roman"/>
          <w:sz w:val="28"/>
          <w:szCs w:val="28"/>
          <w:lang w:val="en-US"/>
        </w:rPr>
        <w:t xml:space="preserve"> and the matter seems to have been regarded </w:t>
      </w:r>
      <w:r w:rsidR="00EB1E26" w:rsidRPr="00DD705D">
        <w:rPr>
          <w:rFonts w:ascii="Times New Roman" w:hAnsi="Times New Roman" w:cs="Times New Roman"/>
          <w:sz w:val="28"/>
          <w:szCs w:val="28"/>
          <w:lang w:val="en-US"/>
        </w:rPr>
        <w:t>as</w:t>
      </w:r>
      <w:r w:rsidR="00556B03" w:rsidRPr="00DD705D">
        <w:rPr>
          <w:rFonts w:ascii="Times New Roman" w:hAnsi="Times New Roman" w:cs="Times New Roman"/>
          <w:sz w:val="28"/>
          <w:szCs w:val="28"/>
          <w:lang w:val="en-US"/>
        </w:rPr>
        <w:t xml:space="preserve"> sufficient</w:t>
      </w:r>
      <w:r w:rsidR="00EB1E26">
        <w:rPr>
          <w:rFonts w:ascii="Times New Roman" w:hAnsi="Times New Roman" w:cs="Times New Roman"/>
          <w:sz w:val="28"/>
          <w:szCs w:val="28"/>
          <w:lang w:val="en-US"/>
        </w:rPr>
        <w:t>ly</w:t>
      </w:r>
      <w:r w:rsidR="00556B03" w:rsidRPr="00DD705D">
        <w:rPr>
          <w:rFonts w:ascii="Times New Roman" w:hAnsi="Times New Roman" w:cs="Times New Roman"/>
          <w:sz w:val="28"/>
          <w:szCs w:val="28"/>
          <w:lang w:val="en-US"/>
        </w:rPr>
        <w:t xml:space="preserve"> </w:t>
      </w:r>
      <w:r w:rsidR="00EB1E26">
        <w:rPr>
          <w:rFonts w:ascii="Times New Roman" w:hAnsi="Times New Roman" w:cs="Times New Roman"/>
          <w:sz w:val="28"/>
          <w:szCs w:val="28"/>
          <w:lang w:val="en-US"/>
        </w:rPr>
        <w:lastRenderedPageBreak/>
        <w:t xml:space="preserve">important </w:t>
      </w:r>
      <w:r w:rsidR="00556B03" w:rsidRPr="00DD705D">
        <w:rPr>
          <w:rFonts w:ascii="Times New Roman" w:hAnsi="Times New Roman" w:cs="Times New Roman"/>
          <w:sz w:val="28"/>
          <w:szCs w:val="28"/>
          <w:lang w:val="en-US"/>
        </w:rPr>
        <w:t xml:space="preserve">to have allowed </w:t>
      </w:r>
      <w:r w:rsidR="00BC177E" w:rsidRPr="00DD705D">
        <w:rPr>
          <w:rFonts w:ascii="Times New Roman" w:hAnsi="Times New Roman" w:cs="Times New Roman"/>
          <w:sz w:val="28"/>
          <w:szCs w:val="28"/>
          <w:lang w:val="en-US"/>
        </w:rPr>
        <w:t xml:space="preserve">one and a half </w:t>
      </w:r>
      <w:r w:rsidR="00556B03" w:rsidRPr="00DD705D">
        <w:rPr>
          <w:rFonts w:ascii="Times New Roman" w:hAnsi="Times New Roman" w:cs="Times New Roman"/>
          <w:sz w:val="28"/>
          <w:szCs w:val="28"/>
          <w:lang w:val="en-US"/>
        </w:rPr>
        <w:t>weeks between the giving of notice and the holding of the meeting</w:t>
      </w:r>
      <w:r w:rsidR="00DD705D">
        <w:rPr>
          <w:rFonts w:ascii="Times New Roman" w:hAnsi="Times New Roman" w:cs="Times New Roman"/>
          <w:sz w:val="28"/>
          <w:szCs w:val="28"/>
          <w:lang w:val="en-US"/>
        </w:rPr>
        <w:t>.</w:t>
      </w:r>
    </w:p>
    <w:p w14:paraId="4D6D3BE3" w14:textId="77777777" w:rsidR="00DD705D" w:rsidRPr="00DD705D" w:rsidRDefault="00DD705D" w:rsidP="00DD705D">
      <w:pPr>
        <w:pStyle w:val="ListParagraph"/>
        <w:rPr>
          <w:rFonts w:ascii="Times New Roman" w:hAnsi="Times New Roman" w:cs="Times New Roman"/>
          <w:sz w:val="28"/>
          <w:szCs w:val="28"/>
          <w:lang w:val="en-US"/>
        </w:rPr>
      </w:pPr>
    </w:p>
    <w:p w14:paraId="727088E6" w14:textId="63239775" w:rsidR="009A26E6" w:rsidRDefault="009A26E6" w:rsidP="00DD705D">
      <w:pPr>
        <w:pStyle w:val="ListParagraph"/>
        <w:numPr>
          <w:ilvl w:val="0"/>
          <w:numId w:val="1"/>
        </w:numPr>
        <w:spacing w:line="480" w:lineRule="auto"/>
        <w:jc w:val="both"/>
        <w:rPr>
          <w:rFonts w:ascii="Times New Roman" w:hAnsi="Times New Roman" w:cs="Times New Roman"/>
          <w:sz w:val="28"/>
          <w:szCs w:val="28"/>
          <w:lang w:val="en-US"/>
        </w:rPr>
      </w:pPr>
      <w:r w:rsidRPr="00DD705D">
        <w:rPr>
          <w:rFonts w:ascii="Times New Roman" w:hAnsi="Times New Roman" w:cs="Times New Roman"/>
          <w:sz w:val="28"/>
          <w:szCs w:val="28"/>
          <w:lang w:val="en-US"/>
        </w:rPr>
        <w:t>M</w:t>
      </w:r>
      <w:r w:rsidR="00DD705D">
        <w:rPr>
          <w:rFonts w:ascii="Times New Roman" w:hAnsi="Times New Roman" w:cs="Times New Roman"/>
          <w:sz w:val="28"/>
          <w:szCs w:val="28"/>
          <w:lang w:val="en-US"/>
        </w:rPr>
        <w:t>s.</w:t>
      </w:r>
      <w:r w:rsidRPr="00DD705D">
        <w:rPr>
          <w:rFonts w:ascii="Times New Roman" w:hAnsi="Times New Roman" w:cs="Times New Roman"/>
          <w:sz w:val="28"/>
          <w:szCs w:val="28"/>
          <w:lang w:val="en-US"/>
        </w:rPr>
        <w:t xml:space="preserve"> Maguire also makes the point that there was no quorum at the meeting, but there </w:t>
      </w:r>
      <w:proofErr w:type="gramStart"/>
      <w:r w:rsidRPr="00DD705D">
        <w:rPr>
          <w:rFonts w:ascii="Times New Roman" w:hAnsi="Times New Roman" w:cs="Times New Roman"/>
          <w:sz w:val="28"/>
          <w:szCs w:val="28"/>
          <w:lang w:val="en-US"/>
        </w:rPr>
        <w:t>is</w:t>
      </w:r>
      <w:proofErr w:type="gramEnd"/>
      <w:r w:rsidRPr="00DD705D">
        <w:rPr>
          <w:rFonts w:ascii="Times New Roman" w:hAnsi="Times New Roman" w:cs="Times New Roman"/>
          <w:sz w:val="28"/>
          <w:szCs w:val="28"/>
          <w:lang w:val="en-US"/>
        </w:rPr>
        <w:t xml:space="preserve"> nothing </w:t>
      </w:r>
      <w:r w:rsidR="002F7F0C" w:rsidRPr="00DD705D">
        <w:rPr>
          <w:rFonts w:ascii="Times New Roman" w:hAnsi="Times New Roman" w:cs="Times New Roman"/>
          <w:sz w:val="28"/>
          <w:szCs w:val="28"/>
          <w:lang w:val="en-US"/>
        </w:rPr>
        <w:t>in</w:t>
      </w:r>
      <w:r w:rsidRPr="00DD705D">
        <w:rPr>
          <w:rFonts w:ascii="Times New Roman" w:hAnsi="Times New Roman" w:cs="Times New Roman"/>
          <w:sz w:val="28"/>
          <w:szCs w:val="28"/>
          <w:lang w:val="en-US"/>
        </w:rPr>
        <w:t xml:space="preserve"> the constitution to identify how a quorum was to be calculated.  The appeal cannot be resolved on a consideration of the question of whether a quorum was met.</w:t>
      </w:r>
    </w:p>
    <w:p w14:paraId="7ED7AE2B" w14:textId="77777777" w:rsidR="00DD705D" w:rsidRPr="00DD705D" w:rsidRDefault="00DD705D" w:rsidP="00DD705D">
      <w:pPr>
        <w:pStyle w:val="ListParagraph"/>
        <w:rPr>
          <w:rFonts w:ascii="Times New Roman" w:hAnsi="Times New Roman" w:cs="Times New Roman"/>
          <w:sz w:val="28"/>
          <w:szCs w:val="28"/>
          <w:lang w:val="en-US"/>
        </w:rPr>
      </w:pPr>
    </w:p>
    <w:p w14:paraId="18B1E521" w14:textId="77777777" w:rsidR="00DD705D" w:rsidRPr="00DD705D" w:rsidRDefault="00DD705D" w:rsidP="00DD705D">
      <w:pPr>
        <w:pStyle w:val="ListParagraph"/>
        <w:rPr>
          <w:rFonts w:ascii="Times New Roman" w:hAnsi="Times New Roman" w:cs="Times New Roman"/>
          <w:sz w:val="28"/>
          <w:szCs w:val="28"/>
          <w:lang w:val="en-US"/>
        </w:rPr>
      </w:pPr>
    </w:p>
    <w:p w14:paraId="1BF31516" w14:textId="18125FCA" w:rsidR="00EB1E26" w:rsidRPr="00EB1E26" w:rsidRDefault="00DD705D" w:rsidP="00DD705D">
      <w:pPr>
        <w:pStyle w:val="ListParagraph"/>
        <w:numPr>
          <w:ilvl w:val="0"/>
          <w:numId w:val="1"/>
        </w:numPr>
        <w:spacing w:line="480" w:lineRule="auto"/>
        <w:jc w:val="both"/>
        <w:rPr>
          <w:rFonts w:ascii="Times New Roman" w:hAnsi="Times New Roman" w:cs="Times New Roman"/>
          <w:sz w:val="28"/>
          <w:szCs w:val="28"/>
          <w:lang w:val="en-US"/>
        </w:rPr>
      </w:pPr>
      <w:r w:rsidRPr="00DD705D">
        <w:rPr>
          <w:rFonts w:ascii="Times New Roman" w:hAnsi="Times New Roman" w:cs="Times New Roman"/>
          <w:sz w:val="28"/>
          <w:szCs w:val="28"/>
        </w:rPr>
        <w:t>The names and addresses of the recipient show that the email was sent to 19 persons in all.  It is not asserted that the email was sent to only these persons</w:t>
      </w:r>
      <w:r w:rsidR="00416FB6">
        <w:rPr>
          <w:rFonts w:ascii="Times New Roman" w:hAnsi="Times New Roman" w:cs="Times New Roman"/>
          <w:sz w:val="28"/>
          <w:szCs w:val="28"/>
        </w:rPr>
        <w:t xml:space="preserve">, but it remains unclear how many persons did in fact receive notice. </w:t>
      </w:r>
      <w:r w:rsidRPr="00DD705D">
        <w:rPr>
          <w:rFonts w:ascii="Times New Roman" w:hAnsi="Times New Roman" w:cs="Times New Roman"/>
          <w:sz w:val="28"/>
          <w:szCs w:val="28"/>
        </w:rPr>
        <w:t xml:space="preserve"> Ms Herraty says she does not have access to the Party files and can give no further information or evidence.  </w:t>
      </w:r>
      <w:r>
        <w:rPr>
          <w:rFonts w:ascii="Times New Roman" w:hAnsi="Times New Roman" w:cs="Times New Roman"/>
          <w:sz w:val="28"/>
          <w:szCs w:val="28"/>
        </w:rPr>
        <w:t xml:space="preserve">The Board asked her for further evidence of the sending of the notice to the membership, but none was forthcoming. </w:t>
      </w:r>
      <w:r w:rsidRPr="00DD705D">
        <w:rPr>
          <w:rFonts w:ascii="Times New Roman" w:hAnsi="Times New Roman" w:cs="Times New Roman"/>
          <w:sz w:val="28"/>
          <w:szCs w:val="28"/>
        </w:rPr>
        <w:t xml:space="preserve">The Board does not consider </w:t>
      </w:r>
      <w:r>
        <w:rPr>
          <w:rFonts w:ascii="Times New Roman" w:hAnsi="Times New Roman" w:cs="Times New Roman"/>
          <w:sz w:val="28"/>
          <w:szCs w:val="28"/>
        </w:rPr>
        <w:t>it</w:t>
      </w:r>
      <w:r w:rsidRPr="00DD705D">
        <w:rPr>
          <w:rFonts w:ascii="Times New Roman" w:hAnsi="Times New Roman" w:cs="Times New Roman"/>
          <w:sz w:val="28"/>
          <w:szCs w:val="28"/>
        </w:rPr>
        <w:t xml:space="preserve"> to be acceptable practice</w:t>
      </w:r>
      <w:r w:rsidR="00EB1E26">
        <w:rPr>
          <w:rFonts w:ascii="Times New Roman" w:hAnsi="Times New Roman" w:cs="Times New Roman"/>
          <w:sz w:val="28"/>
          <w:szCs w:val="28"/>
        </w:rPr>
        <w:t xml:space="preserve"> </w:t>
      </w:r>
      <w:r>
        <w:rPr>
          <w:rFonts w:ascii="Times New Roman" w:hAnsi="Times New Roman" w:cs="Times New Roman"/>
          <w:sz w:val="28"/>
          <w:szCs w:val="28"/>
        </w:rPr>
        <w:t xml:space="preserve">that the files were not maintained in a secure location, </w:t>
      </w:r>
      <w:r w:rsidRPr="00DD705D">
        <w:rPr>
          <w:rFonts w:ascii="Times New Roman" w:hAnsi="Times New Roman" w:cs="Times New Roman"/>
          <w:sz w:val="28"/>
          <w:szCs w:val="28"/>
        </w:rPr>
        <w:t>and the officers of a political party should retain and file in a safe and secure manner details of notices</w:t>
      </w:r>
      <w:r w:rsidR="00EB1E26">
        <w:rPr>
          <w:rFonts w:ascii="Times New Roman" w:hAnsi="Times New Roman" w:cs="Times New Roman"/>
          <w:sz w:val="28"/>
          <w:szCs w:val="28"/>
        </w:rPr>
        <w:t>,</w:t>
      </w:r>
      <w:r w:rsidRPr="00DD705D">
        <w:rPr>
          <w:rFonts w:ascii="Times New Roman" w:hAnsi="Times New Roman" w:cs="Times New Roman"/>
          <w:sz w:val="28"/>
          <w:szCs w:val="28"/>
        </w:rPr>
        <w:t xml:space="preserve"> and recipients of notice</w:t>
      </w:r>
      <w:r w:rsidR="00EB1E26">
        <w:rPr>
          <w:rFonts w:ascii="Times New Roman" w:hAnsi="Times New Roman" w:cs="Times New Roman"/>
          <w:sz w:val="28"/>
          <w:szCs w:val="28"/>
        </w:rPr>
        <w:t>,</w:t>
      </w:r>
      <w:r w:rsidRPr="00DD705D">
        <w:rPr>
          <w:rFonts w:ascii="Times New Roman" w:hAnsi="Times New Roman" w:cs="Times New Roman"/>
          <w:sz w:val="28"/>
          <w:szCs w:val="28"/>
        </w:rPr>
        <w:t xml:space="preserve"> for meeting</w:t>
      </w:r>
      <w:r w:rsidR="00EB1E26">
        <w:rPr>
          <w:rFonts w:ascii="Times New Roman" w:hAnsi="Times New Roman" w:cs="Times New Roman"/>
          <w:sz w:val="28"/>
          <w:szCs w:val="28"/>
        </w:rPr>
        <w:t>s</w:t>
      </w:r>
      <w:r w:rsidRPr="00DD705D">
        <w:rPr>
          <w:rFonts w:ascii="Times New Roman" w:hAnsi="Times New Roman" w:cs="Times New Roman"/>
          <w:sz w:val="28"/>
          <w:szCs w:val="28"/>
        </w:rPr>
        <w:t xml:space="preserve"> held at which decisions are made that impact to such a significant extent on the composition of </w:t>
      </w:r>
      <w:r w:rsidR="00EB1E26">
        <w:rPr>
          <w:rFonts w:ascii="Times New Roman" w:hAnsi="Times New Roman" w:cs="Times New Roman"/>
          <w:sz w:val="28"/>
          <w:szCs w:val="28"/>
        </w:rPr>
        <w:t xml:space="preserve">the </w:t>
      </w:r>
      <w:r w:rsidRPr="00DD705D">
        <w:rPr>
          <w:rFonts w:ascii="Times New Roman" w:hAnsi="Times New Roman" w:cs="Times New Roman"/>
          <w:sz w:val="28"/>
          <w:szCs w:val="28"/>
        </w:rPr>
        <w:t xml:space="preserve">decision making body of the party.   </w:t>
      </w:r>
    </w:p>
    <w:p w14:paraId="577CAABB" w14:textId="77777777" w:rsidR="00EB1E26" w:rsidRPr="00EB1E26" w:rsidRDefault="00EB1E26" w:rsidP="00EB1E26">
      <w:pPr>
        <w:pStyle w:val="ListParagraph"/>
        <w:rPr>
          <w:rFonts w:ascii="Times New Roman" w:hAnsi="Times New Roman" w:cs="Times New Roman"/>
          <w:sz w:val="28"/>
          <w:szCs w:val="28"/>
        </w:rPr>
      </w:pPr>
    </w:p>
    <w:p w14:paraId="2212C7D3" w14:textId="7A4E638F" w:rsidR="00DD705D" w:rsidRPr="00DD705D" w:rsidRDefault="00DD705D" w:rsidP="00DD705D">
      <w:pPr>
        <w:pStyle w:val="ListParagraph"/>
        <w:numPr>
          <w:ilvl w:val="0"/>
          <w:numId w:val="1"/>
        </w:numPr>
        <w:spacing w:line="480" w:lineRule="auto"/>
        <w:jc w:val="both"/>
        <w:rPr>
          <w:rFonts w:ascii="Times New Roman" w:hAnsi="Times New Roman" w:cs="Times New Roman"/>
          <w:sz w:val="28"/>
          <w:szCs w:val="28"/>
          <w:lang w:val="en-US"/>
        </w:rPr>
      </w:pPr>
      <w:r w:rsidRPr="00DD705D">
        <w:rPr>
          <w:rFonts w:ascii="Times New Roman" w:hAnsi="Times New Roman" w:cs="Times New Roman"/>
          <w:sz w:val="28"/>
          <w:szCs w:val="28"/>
        </w:rPr>
        <w:t xml:space="preserve">The Board considers that it does not have sufficient information or uncontested facts to make a determination on whether all members were </w:t>
      </w:r>
      <w:r w:rsidRPr="00DD705D">
        <w:rPr>
          <w:rFonts w:ascii="Times New Roman" w:hAnsi="Times New Roman" w:cs="Times New Roman"/>
          <w:sz w:val="28"/>
          <w:szCs w:val="28"/>
        </w:rPr>
        <w:lastRenderedPageBreak/>
        <w:t>in fact notified but considers that it can determine the matters in the appeal without taking a view on this question as Ms Maguire is accepted as being a necessary notice party</w:t>
      </w:r>
      <w:r w:rsidR="00EB1E26">
        <w:rPr>
          <w:rFonts w:ascii="Times New Roman" w:hAnsi="Times New Roman" w:cs="Times New Roman"/>
          <w:sz w:val="28"/>
          <w:szCs w:val="28"/>
        </w:rPr>
        <w:t>, and she was not notified</w:t>
      </w:r>
      <w:r w:rsidRPr="00DD705D">
        <w:rPr>
          <w:rFonts w:ascii="Times New Roman" w:hAnsi="Times New Roman" w:cs="Times New Roman"/>
          <w:sz w:val="28"/>
          <w:szCs w:val="28"/>
        </w:rPr>
        <w:t xml:space="preserve">. </w:t>
      </w:r>
    </w:p>
    <w:p w14:paraId="275991A2" w14:textId="77777777" w:rsidR="00DD705D" w:rsidRPr="00DD705D" w:rsidRDefault="00DD705D" w:rsidP="00DD705D">
      <w:pPr>
        <w:pStyle w:val="ListParagraph"/>
        <w:spacing w:line="480" w:lineRule="auto"/>
        <w:ind w:left="785"/>
        <w:jc w:val="both"/>
        <w:rPr>
          <w:rFonts w:ascii="Times New Roman" w:hAnsi="Times New Roman" w:cs="Times New Roman"/>
          <w:sz w:val="28"/>
          <w:szCs w:val="28"/>
          <w:lang w:val="en-US"/>
        </w:rPr>
      </w:pPr>
    </w:p>
    <w:p w14:paraId="14D4E1A1" w14:textId="1631CA47" w:rsidR="00DD705D" w:rsidRDefault="00DD705D" w:rsidP="00DD705D">
      <w:pPr>
        <w:pStyle w:val="ListParagraph"/>
        <w:numPr>
          <w:ilvl w:val="0"/>
          <w:numId w:val="1"/>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Board considers that the evidence points to a conclusion that all </w:t>
      </w:r>
      <w:proofErr w:type="gramStart"/>
      <w:r>
        <w:rPr>
          <w:rFonts w:ascii="Times New Roman" w:hAnsi="Times New Roman" w:cs="Times New Roman"/>
          <w:sz w:val="28"/>
          <w:szCs w:val="28"/>
          <w:lang w:val="en-US"/>
        </w:rPr>
        <w:t>persons</w:t>
      </w:r>
      <w:proofErr w:type="gramEnd"/>
      <w:r>
        <w:rPr>
          <w:rFonts w:ascii="Times New Roman" w:hAnsi="Times New Roman" w:cs="Times New Roman"/>
          <w:sz w:val="28"/>
          <w:szCs w:val="28"/>
          <w:lang w:val="en-US"/>
        </w:rPr>
        <w:t xml:space="preserve"> entitled to receive notice did not in fact receive notice of the intention to hold a meeting of the membership on 16 February 2025.   This is a fatal flaw.   Further, as we now explain, the notice was inadequate </w:t>
      </w:r>
      <w:proofErr w:type="gramStart"/>
      <w:r w:rsidR="00672750">
        <w:rPr>
          <w:rFonts w:ascii="Times New Roman" w:hAnsi="Times New Roman" w:cs="Times New Roman"/>
          <w:sz w:val="28"/>
          <w:szCs w:val="28"/>
          <w:lang w:val="en-US"/>
        </w:rPr>
        <w:t>in regard to</w:t>
      </w:r>
      <w:proofErr w:type="gramEnd"/>
      <w:r>
        <w:rPr>
          <w:rFonts w:ascii="Times New Roman" w:hAnsi="Times New Roman" w:cs="Times New Roman"/>
          <w:sz w:val="28"/>
          <w:szCs w:val="28"/>
          <w:lang w:val="en-US"/>
        </w:rPr>
        <w:t xml:space="preserve"> its content.</w:t>
      </w:r>
    </w:p>
    <w:p w14:paraId="37431309" w14:textId="77777777" w:rsidR="00654871" w:rsidRDefault="00654871" w:rsidP="00654871">
      <w:pPr>
        <w:spacing w:line="480" w:lineRule="auto"/>
        <w:jc w:val="both"/>
        <w:rPr>
          <w:rFonts w:ascii="Times New Roman" w:hAnsi="Times New Roman" w:cs="Times New Roman"/>
          <w:b/>
          <w:bCs/>
          <w:sz w:val="28"/>
          <w:szCs w:val="28"/>
        </w:rPr>
      </w:pPr>
    </w:p>
    <w:p w14:paraId="6FAF8F0C" w14:textId="1A653230" w:rsidR="000745FE" w:rsidRPr="00654871" w:rsidRDefault="007E75D6" w:rsidP="00654871">
      <w:pPr>
        <w:spacing w:line="480" w:lineRule="auto"/>
        <w:jc w:val="both"/>
        <w:rPr>
          <w:rFonts w:ascii="Times New Roman" w:hAnsi="Times New Roman" w:cs="Times New Roman"/>
          <w:sz w:val="28"/>
          <w:szCs w:val="28"/>
          <w:lang w:val="en-US"/>
        </w:rPr>
      </w:pPr>
      <w:r w:rsidRPr="00654871">
        <w:rPr>
          <w:rFonts w:ascii="Times New Roman" w:hAnsi="Times New Roman" w:cs="Times New Roman"/>
          <w:b/>
          <w:bCs/>
          <w:sz w:val="28"/>
          <w:szCs w:val="28"/>
        </w:rPr>
        <w:t xml:space="preserve">The contents of the notice: was it reasonable and sufficient? </w:t>
      </w:r>
    </w:p>
    <w:p w14:paraId="0F0DE12E" w14:textId="77777777" w:rsidR="00654871" w:rsidRPr="00654871" w:rsidRDefault="00654871" w:rsidP="00654871">
      <w:pPr>
        <w:pStyle w:val="ListParagraph"/>
        <w:rPr>
          <w:rFonts w:ascii="Times New Roman" w:hAnsi="Times New Roman" w:cs="Times New Roman"/>
          <w:sz w:val="28"/>
          <w:szCs w:val="28"/>
          <w:lang w:val="en-US"/>
        </w:rPr>
      </w:pPr>
    </w:p>
    <w:p w14:paraId="6346D1F6" w14:textId="1D140C56" w:rsidR="00EB1E26" w:rsidRPr="002B0922" w:rsidRDefault="00EB1E26" w:rsidP="00654871">
      <w:pPr>
        <w:pStyle w:val="ListParagraph"/>
        <w:numPr>
          <w:ilvl w:val="0"/>
          <w:numId w:val="1"/>
        </w:numPr>
        <w:spacing w:line="480" w:lineRule="auto"/>
        <w:jc w:val="both"/>
        <w:rPr>
          <w:rFonts w:ascii="Times New Roman" w:hAnsi="Times New Roman" w:cs="Times New Roman"/>
          <w:sz w:val="28"/>
          <w:szCs w:val="28"/>
          <w:lang w:val="en-US"/>
        </w:rPr>
      </w:pPr>
      <w:r w:rsidRPr="00654871">
        <w:rPr>
          <w:rFonts w:ascii="Times New Roman" w:hAnsi="Times New Roman" w:cs="Times New Roman"/>
          <w:sz w:val="28"/>
          <w:szCs w:val="28"/>
        </w:rPr>
        <w:t xml:space="preserve">Another consideration presents in the test of reasonableness.  In </w:t>
      </w:r>
      <w:r w:rsidRPr="00654871">
        <w:rPr>
          <w:rFonts w:ascii="Times New Roman" w:hAnsi="Times New Roman" w:cs="Times New Roman"/>
          <w:i/>
          <w:sz w:val="28"/>
          <w:szCs w:val="28"/>
        </w:rPr>
        <w:t>Re GKN Sports Club</w:t>
      </w:r>
      <w:r w:rsidRPr="00654871">
        <w:rPr>
          <w:rFonts w:ascii="Times New Roman" w:hAnsi="Times New Roman" w:cs="Times New Roman"/>
          <w:sz w:val="28"/>
          <w:szCs w:val="28"/>
        </w:rPr>
        <w:t>,</w:t>
      </w:r>
      <w:r w:rsidR="00416FB6" w:rsidRPr="00654871">
        <w:rPr>
          <w:rFonts w:ascii="Times New Roman" w:hAnsi="Times New Roman" w:cs="Times New Roman"/>
          <w:sz w:val="28"/>
          <w:szCs w:val="28"/>
        </w:rPr>
        <w:t xml:space="preserve"> </w:t>
      </w:r>
      <w:r w:rsidRPr="00654871">
        <w:rPr>
          <w:rFonts w:ascii="Times New Roman" w:hAnsi="Times New Roman" w:cs="Times New Roman"/>
          <w:sz w:val="28"/>
          <w:szCs w:val="28"/>
        </w:rPr>
        <w:t xml:space="preserve">it was held that whether notice was reasonable includes the significance of what is being considered. </w:t>
      </w:r>
    </w:p>
    <w:p w14:paraId="7D1B5772" w14:textId="77777777" w:rsidR="002B0922" w:rsidRPr="00654871" w:rsidRDefault="002B0922" w:rsidP="002B0922">
      <w:pPr>
        <w:pStyle w:val="ListParagraph"/>
        <w:spacing w:line="480" w:lineRule="auto"/>
        <w:ind w:left="785"/>
        <w:jc w:val="both"/>
        <w:rPr>
          <w:rFonts w:ascii="Times New Roman" w:hAnsi="Times New Roman" w:cs="Times New Roman"/>
          <w:sz w:val="28"/>
          <w:szCs w:val="28"/>
          <w:lang w:val="en-US"/>
        </w:rPr>
      </w:pPr>
    </w:p>
    <w:p w14:paraId="34BC6A89" w14:textId="5AEDE82C" w:rsidR="00B01CB5" w:rsidRDefault="00150483" w:rsidP="00654871">
      <w:pPr>
        <w:pStyle w:val="ListParagraph"/>
        <w:numPr>
          <w:ilvl w:val="0"/>
          <w:numId w:val="1"/>
        </w:numPr>
        <w:spacing w:line="480" w:lineRule="auto"/>
        <w:jc w:val="both"/>
        <w:rPr>
          <w:rFonts w:ascii="Times New Roman" w:hAnsi="Times New Roman" w:cs="Times New Roman"/>
          <w:sz w:val="28"/>
          <w:szCs w:val="28"/>
          <w:lang w:val="en-US"/>
        </w:rPr>
      </w:pPr>
      <w:r w:rsidRPr="00654871">
        <w:rPr>
          <w:rFonts w:ascii="Times New Roman" w:hAnsi="Times New Roman" w:cs="Times New Roman"/>
          <w:sz w:val="28"/>
          <w:szCs w:val="28"/>
          <w:lang w:val="en-US"/>
        </w:rPr>
        <w:t xml:space="preserve">Nothing in the notice indicated that what was proposed was a change of committee membership. </w:t>
      </w:r>
      <w:r w:rsidR="00416FB6">
        <w:rPr>
          <w:rFonts w:ascii="Times New Roman" w:hAnsi="Times New Roman" w:cs="Times New Roman"/>
          <w:sz w:val="28"/>
          <w:szCs w:val="28"/>
          <w:lang w:val="en-US"/>
        </w:rPr>
        <w:t xml:space="preserve"> T</w:t>
      </w:r>
      <w:r w:rsidRPr="00654871">
        <w:rPr>
          <w:rFonts w:ascii="Times New Roman" w:hAnsi="Times New Roman" w:cs="Times New Roman"/>
          <w:sz w:val="28"/>
          <w:szCs w:val="28"/>
          <w:lang w:val="en-US"/>
        </w:rPr>
        <w:t xml:space="preserve">he constitution </w:t>
      </w:r>
      <w:r w:rsidR="00416FB6">
        <w:rPr>
          <w:rFonts w:ascii="Times New Roman" w:hAnsi="Times New Roman" w:cs="Times New Roman"/>
          <w:sz w:val="28"/>
          <w:szCs w:val="28"/>
          <w:lang w:val="en-US"/>
        </w:rPr>
        <w:t xml:space="preserve">of the Party </w:t>
      </w:r>
      <w:r w:rsidRPr="00654871">
        <w:rPr>
          <w:rFonts w:ascii="Times New Roman" w:hAnsi="Times New Roman" w:cs="Times New Roman"/>
          <w:sz w:val="28"/>
          <w:szCs w:val="28"/>
          <w:lang w:val="en-US"/>
        </w:rPr>
        <w:t>provides that the committee is elected every four years by the members</w:t>
      </w:r>
      <w:r w:rsidR="00EB1E26" w:rsidRPr="00654871">
        <w:rPr>
          <w:rFonts w:ascii="Times New Roman" w:hAnsi="Times New Roman" w:cs="Times New Roman"/>
          <w:sz w:val="28"/>
          <w:szCs w:val="28"/>
          <w:lang w:val="en-US"/>
        </w:rPr>
        <w:t>, and accordingly the change of composition is not an everyday matter</w:t>
      </w:r>
      <w:r w:rsidRPr="00654871">
        <w:rPr>
          <w:rFonts w:ascii="Times New Roman" w:hAnsi="Times New Roman" w:cs="Times New Roman"/>
          <w:sz w:val="28"/>
          <w:szCs w:val="28"/>
          <w:lang w:val="en-US"/>
        </w:rPr>
        <w:t xml:space="preserve">. </w:t>
      </w:r>
    </w:p>
    <w:p w14:paraId="779CC2C5" w14:textId="77777777" w:rsidR="00313C7F" w:rsidRPr="00313C7F" w:rsidRDefault="00313C7F" w:rsidP="00313C7F">
      <w:pPr>
        <w:pStyle w:val="ListParagraph"/>
        <w:rPr>
          <w:rFonts w:ascii="Times New Roman" w:hAnsi="Times New Roman" w:cs="Times New Roman"/>
          <w:sz w:val="28"/>
          <w:szCs w:val="28"/>
          <w:lang w:val="en-US"/>
        </w:rPr>
      </w:pPr>
    </w:p>
    <w:p w14:paraId="5BD89635" w14:textId="552E585A" w:rsidR="00205E62" w:rsidRDefault="00205E62" w:rsidP="00313C7F">
      <w:pPr>
        <w:pStyle w:val="ListParagraph"/>
        <w:numPr>
          <w:ilvl w:val="0"/>
          <w:numId w:val="1"/>
        </w:numPr>
        <w:spacing w:line="480" w:lineRule="auto"/>
        <w:jc w:val="both"/>
        <w:rPr>
          <w:rFonts w:ascii="Times New Roman" w:hAnsi="Times New Roman" w:cs="Times New Roman"/>
          <w:sz w:val="28"/>
          <w:szCs w:val="28"/>
          <w:lang w:val="en-US"/>
        </w:rPr>
      </w:pPr>
      <w:r w:rsidRPr="00313C7F">
        <w:rPr>
          <w:rFonts w:ascii="Times New Roman" w:hAnsi="Times New Roman" w:cs="Times New Roman"/>
          <w:sz w:val="28"/>
          <w:szCs w:val="28"/>
        </w:rPr>
        <w:lastRenderedPageBreak/>
        <w:t xml:space="preserve">The Board considers that the email notice could </w:t>
      </w:r>
      <w:r w:rsidR="00244572">
        <w:rPr>
          <w:rFonts w:ascii="Times New Roman" w:hAnsi="Times New Roman" w:cs="Times New Roman"/>
          <w:sz w:val="28"/>
          <w:szCs w:val="28"/>
        </w:rPr>
        <w:t xml:space="preserve">not </w:t>
      </w:r>
      <w:r w:rsidRPr="00313C7F">
        <w:rPr>
          <w:rFonts w:ascii="Times New Roman" w:hAnsi="Times New Roman" w:cs="Times New Roman"/>
          <w:sz w:val="28"/>
          <w:szCs w:val="28"/>
        </w:rPr>
        <w:t>be said to constitute reasonable notice of the meeting</w:t>
      </w:r>
      <w:r w:rsidRPr="00313C7F">
        <w:rPr>
          <w:rFonts w:ascii="Times New Roman" w:hAnsi="Times New Roman" w:cs="Times New Roman"/>
          <w:sz w:val="28"/>
          <w:szCs w:val="28"/>
          <w:lang w:val="en-US"/>
        </w:rPr>
        <w:t>. It contained no details of the fact that a vote was intended on matters as important as the election of the president or “leader” of the party and other officials with executive power, and the statutory nominated officers and the change of the party logo.</w:t>
      </w:r>
    </w:p>
    <w:p w14:paraId="33968675" w14:textId="77777777" w:rsidR="00244572" w:rsidRPr="00244572" w:rsidRDefault="00244572" w:rsidP="00244572">
      <w:pPr>
        <w:pStyle w:val="ListParagraph"/>
        <w:rPr>
          <w:rFonts w:ascii="Times New Roman" w:hAnsi="Times New Roman" w:cs="Times New Roman"/>
          <w:sz w:val="28"/>
          <w:szCs w:val="28"/>
          <w:lang w:val="en-US"/>
        </w:rPr>
      </w:pPr>
    </w:p>
    <w:p w14:paraId="12CB57A3" w14:textId="27CE6D9C" w:rsidR="00721F35" w:rsidRPr="0017555A" w:rsidRDefault="00721F35" w:rsidP="0017555A">
      <w:pPr>
        <w:pStyle w:val="ListParagraph"/>
        <w:numPr>
          <w:ilvl w:val="0"/>
          <w:numId w:val="1"/>
        </w:numPr>
        <w:spacing w:line="480" w:lineRule="auto"/>
        <w:jc w:val="both"/>
        <w:rPr>
          <w:rFonts w:ascii="Times New Roman" w:hAnsi="Times New Roman" w:cs="Times New Roman"/>
          <w:sz w:val="28"/>
          <w:szCs w:val="28"/>
          <w:lang w:val="en-US"/>
        </w:rPr>
      </w:pPr>
      <w:r w:rsidRPr="00244572">
        <w:rPr>
          <w:rFonts w:ascii="Times New Roman" w:hAnsi="Times New Roman" w:cs="Times New Roman"/>
          <w:sz w:val="28"/>
          <w:szCs w:val="28"/>
        </w:rPr>
        <w:t>A person reading th</w:t>
      </w:r>
      <w:r w:rsidR="00244572">
        <w:rPr>
          <w:rFonts w:ascii="Times New Roman" w:hAnsi="Times New Roman" w:cs="Times New Roman"/>
          <w:sz w:val="28"/>
          <w:szCs w:val="28"/>
        </w:rPr>
        <w:t>e</w:t>
      </w:r>
      <w:r w:rsidRPr="00244572">
        <w:rPr>
          <w:rFonts w:ascii="Times New Roman" w:hAnsi="Times New Roman" w:cs="Times New Roman"/>
          <w:sz w:val="28"/>
          <w:szCs w:val="28"/>
        </w:rPr>
        <w:t xml:space="preserve"> agenda line item</w:t>
      </w:r>
      <w:r w:rsidR="00205E62" w:rsidRPr="00244572">
        <w:rPr>
          <w:rFonts w:ascii="Times New Roman" w:hAnsi="Times New Roman" w:cs="Times New Roman"/>
          <w:sz w:val="28"/>
          <w:szCs w:val="28"/>
        </w:rPr>
        <w:t>s</w:t>
      </w:r>
      <w:r w:rsidRPr="00244572">
        <w:rPr>
          <w:rFonts w:ascii="Times New Roman" w:hAnsi="Times New Roman" w:cs="Times New Roman"/>
          <w:sz w:val="28"/>
          <w:szCs w:val="28"/>
        </w:rPr>
        <w:t xml:space="preserve"> </w:t>
      </w:r>
      <w:r w:rsidR="00416FB6">
        <w:rPr>
          <w:rFonts w:ascii="Times New Roman" w:hAnsi="Times New Roman" w:cs="Times New Roman"/>
          <w:sz w:val="28"/>
          <w:szCs w:val="28"/>
        </w:rPr>
        <w:t xml:space="preserve">which </w:t>
      </w:r>
      <w:proofErr w:type="gramStart"/>
      <w:r w:rsidR="00416FB6">
        <w:rPr>
          <w:rFonts w:ascii="Times New Roman" w:hAnsi="Times New Roman" w:cs="Times New Roman"/>
          <w:sz w:val="28"/>
          <w:szCs w:val="28"/>
        </w:rPr>
        <w:t>made reference</w:t>
      </w:r>
      <w:proofErr w:type="gramEnd"/>
      <w:r w:rsidR="00416FB6">
        <w:rPr>
          <w:rFonts w:ascii="Times New Roman" w:hAnsi="Times New Roman" w:cs="Times New Roman"/>
          <w:sz w:val="28"/>
          <w:szCs w:val="28"/>
        </w:rPr>
        <w:t xml:space="preserve"> to </w:t>
      </w:r>
      <w:r w:rsidR="0017555A" w:rsidRPr="00121EBE">
        <w:rPr>
          <w:rFonts w:ascii="Times New Roman" w:hAnsi="Times New Roman" w:cs="Times New Roman"/>
          <w:sz w:val="28"/>
          <w:szCs w:val="28"/>
          <w:lang w:val="en-US"/>
        </w:rPr>
        <w:t>“key updates” “strategic plans” and “upcoming initiatives”</w:t>
      </w:r>
      <w:r w:rsidR="0017555A">
        <w:rPr>
          <w:rFonts w:ascii="Times New Roman" w:hAnsi="Times New Roman" w:cs="Times New Roman"/>
          <w:sz w:val="28"/>
          <w:szCs w:val="28"/>
          <w:lang w:val="en-US"/>
        </w:rPr>
        <w:t xml:space="preserve">, </w:t>
      </w:r>
      <w:r w:rsidRPr="0017555A">
        <w:rPr>
          <w:rFonts w:ascii="Times New Roman" w:hAnsi="Times New Roman" w:cs="Times New Roman"/>
          <w:sz w:val="28"/>
          <w:szCs w:val="28"/>
        </w:rPr>
        <w:t xml:space="preserve">could </w:t>
      </w:r>
      <w:r w:rsidR="00205E62" w:rsidRPr="0017555A">
        <w:rPr>
          <w:rFonts w:ascii="Times New Roman" w:hAnsi="Times New Roman" w:cs="Times New Roman"/>
          <w:sz w:val="28"/>
          <w:szCs w:val="28"/>
        </w:rPr>
        <w:t xml:space="preserve">not </w:t>
      </w:r>
      <w:r w:rsidRPr="0017555A">
        <w:rPr>
          <w:rFonts w:ascii="Times New Roman" w:hAnsi="Times New Roman" w:cs="Times New Roman"/>
          <w:sz w:val="28"/>
          <w:szCs w:val="28"/>
        </w:rPr>
        <w:t xml:space="preserve">reasonably have known that a new </w:t>
      </w:r>
      <w:r w:rsidR="00405D11" w:rsidRPr="0017555A">
        <w:rPr>
          <w:rFonts w:ascii="Times New Roman" w:hAnsi="Times New Roman" w:cs="Times New Roman"/>
          <w:sz w:val="28"/>
          <w:szCs w:val="28"/>
        </w:rPr>
        <w:t xml:space="preserve">national executive </w:t>
      </w:r>
      <w:r w:rsidR="00244572" w:rsidRPr="0017555A">
        <w:rPr>
          <w:rFonts w:ascii="Times New Roman" w:hAnsi="Times New Roman" w:cs="Times New Roman"/>
          <w:sz w:val="28"/>
          <w:szCs w:val="28"/>
        </w:rPr>
        <w:t xml:space="preserve">was proposed and an </w:t>
      </w:r>
      <w:r w:rsidRPr="0017555A">
        <w:rPr>
          <w:rFonts w:ascii="Times New Roman" w:hAnsi="Times New Roman" w:cs="Times New Roman"/>
          <w:sz w:val="28"/>
          <w:szCs w:val="28"/>
        </w:rPr>
        <w:t xml:space="preserve">entirely new governance of the Party and a change </w:t>
      </w:r>
      <w:r w:rsidR="00F52866" w:rsidRPr="0017555A">
        <w:rPr>
          <w:rFonts w:ascii="Times New Roman" w:hAnsi="Times New Roman" w:cs="Times New Roman"/>
          <w:sz w:val="28"/>
          <w:szCs w:val="28"/>
        </w:rPr>
        <w:t>of logo</w:t>
      </w:r>
      <w:r w:rsidR="00205E62" w:rsidRPr="0017555A">
        <w:rPr>
          <w:rFonts w:ascii="Times New Roman" w:hAnsi="Times New Roman" w:cs="Times New Roman"/>
          <w:sz w:val="28"/>
          <w:szCs w:val="28"/>
        </w:rPr>
        <w:t>.</w:t>
      </w:r>
      <w:r w:rsidR="00F52866" w:rsidRPr="0017555A">
        <w:rPr>
          <w:rFonts w:ascii="Times New Roman" w:hAnsi="Times New Roman" w:cs="Times New Roman"/>
          <w:sz w:val="28"/>
          <w:szCs w:val="28"/>
        </w:rPr>
        <w:t xml:space="preserve"> </w:t>
      </w:r>
      <w:r w:rsidR="00405D11" w:rsidRPr="0017555A">
        <w:rPr>
          <w:rFonts w:ascii="Times New Roman" w:hAnsi="Times New Roman" w:cs="Times New Roman"/>
          <w:sz w:val="28"/>
          <w:szCs w:val="28"/>
        </w:rPr>
        <w:t xml:space="preserve">They </w:t>
      </w:r>
      <w:r w:rsidRPr="0017555A">
        <w:rPr>
          <w:rFonts w:ascii="Times New Roman" w:hAnsi="Times New Roman" w:cs="Times New Roman"/>
          <w:sz w:val="28"/>
          <w:szCs w:val="28"/>
        </w:rPr>
        <w:t xml:space="preserve">could therefore </w:t>
      </w:r>
      <w:r w:rsidR="00405D11" w:rsidRPr="0017555A">
        <w:rPr>
          <w:rFonts w:ascii="Times New Roman" w:hAnsi="Times New Roman" w:cs="Times New Roman"/>
          <w:sz w:val="28"/>
          <w:szCs w:val="28"/>
        </w:rPr>
        <w:t xml:space="preserve">not </w:t>
      </w:r>
      <w:r w:rsidRPr="0017555A">
        <w:rPr>
          <w:rFonts w:ascii="Times New Roman" w:hAnsi="Times New Roman" w:cs="Times New Roman"/>
          <w:sz w:val="28"/>
          <w:szCs w:val="28"/>
        </w:rPr>
        <w:t xml:space="preserve">have been in a position to come to an informed decision as to the importance of the matters intended to be discussed and resolved at the meeting and accordingly could </w:t>
      </w:r>
      <w:r w:rsidR="00405D11" w:rsidRPr="0017555A">
        <w:rPr>
          <w:rFonts w:ascii="Times New Roman" w:hAnsi="Times New Roman" w:cs="Times New Roman"/>
          <w:sz w:val="28"/>
          <w:szCs w:val="28"/>
        </w:rPr>
        <w:t xml:space="preserve">not </w:t>
      </w:r>
      <w:r w:rsidRPr="0017555A">
        <w:rPr>
          <w:rFonts w:ascii="Times New Roman" w:hAnsi="Times New Roman" w:cs="Times New Roman"/>
          <w:sz w:val="28"/>
          <w:szCs w:val="28"/>
        </w:rPr>
        <w:t>have made an informed decision whether to attend or to express an intention to attend, and have known that matter</w:t>
      </w:r>
      <w:r w:rsidR="00244572" w:rsidRPr="0017555A">
        <w:rPr>
          <w:rFonts w:ascii="Times New Roman" w:hAnsi="Times New Roman" w:cs="Times New Roman"/>
          <w:sz w:val="28"/>
          <w:szCs w:val="28"/>
        </w:rPr>
        <w:t>s</w:t>
      </w:r>
      <w:r w:rsidRPr="0017555A">
        <w:rPr>
          <w:rFonts w:ascii="Times New Roman" w:hAnsi="Times New Roman" w:cs="Times New Roman"/>
          <w:sz w:val="28"/>
          <w:szCs w:val="28"/>
        </w:rPr>
        <w:t xml:space="preserve"> of such importance was to be dealt with at the meeting. </w:t>
      </w:r>
    </w:p>
    <w:p w14:paraId="10E70CDB" w14:textId="77777777" w:rsidR="00244572" w:rsidRPr="00244572" w:rsidRDefault="00244572" w:rsidP="00244572">
      <w:pPr>
        <w:pStyle w:val="ListParagraph"/>
        <w:rPr>
          <w:rFonts w:ascii="Times New Roman" w:hAnsi="Times New Roman" w:cs="Times New Roman"/>
          <w:sz w:val="28"/>
          <w:szCs w:val="28"/>
          <w:lang w:val="en-US"/>
        </w:rPr>
      </w:pPr>
    </w:p>
    <w:p w14:paraId="13B98A3F" w14:textId="77777777" w:rsidR="00405D11" w:rsidRPr="00244572" w:rsidRDefault="00405D11" w:rsidP="00244572">
      <w:pPr>
        <w:spacing w:line="480" w:lineRule="auto"/>
        <w:jc w:val="both"/>
        <w:rPr>
          <w:rFonts w:ascii="Times New Roman" w:hAnsi="Times New Roman" w:cs="Times New Roman"/>
          <w:sz w:val="28"/>
          <w:szCs w:val="28"/>
          <w:lang w:val="en-US"/>
        </w:rPr>
      </w:pPr>
      <w:r w:rsidRPr="00244572">
        <w:rPr>
          <w:rFonts w:ascii="Times New Roman" w:hAnsi="Times New Roman" w:cs="Times New Roman"/>
          <w:b/>
          <w:bCs/>
          <w:sz w:val="28"/>
          <w:szCs w:val="28"/>
          <w:lang w:val="en-US"/>
        </w:rPr>
        <w:t>Conclusion</w:t>
      </w:r>
    </w:p>
    <w:p w14:paraId="0F24AC71" w14:textId="77777777" w:rsidR="00244572" w:rsidRPr="00244572" w:rsidRDefault="00244572" w:rsidP="00244572">
      <w:pPr>
        <w:pStyle w:val="ListParagraph"/>
        <w:rPr>
          <w:rFonts w:ascii="Times New Roman" w:hAnsi="Times New Roman" w:cs="Times New Roman"/>
          <w:sz w:val="28"/>
          <w:szCs w:val="28"/>
          <w:lang w:val="en-US"/>
        </w:rPr>
      </w:pPr>
    </w:p>
    <w:p w14:paraId="7AC89FEF" w14:textId="7A9324A8" w:rsidR="00B01CB5" w:rsidRDefault="00B01CB5" w:rsidP="00244572">
      <w:pPr>
        <w:pStyle w:val="ListParagraph"/>
        <w:numPr>
          <w:ilvl w:val="0"/>
          <w:numId w:val="1"/>
        </w:numPr>
        <w:spacing w:line="480" w:lineRule="auto"/>
        <w:jc w:val="both"/>
        <w:rPr>
          <w:rFonts w:ascii="Times New Roman" w:hAnsi="Times New Roman" w:cs="Times New Roman"/>
          <w:sz w:val="28"/>
          <w:szCs w:val="28"/>
          <w:lang w:val="en-US"/>
        </w:rPr>
      </w:pPr>
      <w:r w:rsidRPr="00244572">
        <w:rPr>
          <w:rFonts w:ascii="Times New Roman" w:hAnsi="Times New Roman" w:cs="Times New Roman"/>
          <w:sz w:val="28"/>
          <w:szCs w:val="28"/>
          <w:lang w:val="en-US"/>
        </w:rPr>
        <w:t xml:space="preserve">The consequence of the </w:t>
      </w:r>
      <w:r w:rsidR="003D2A4C" w:rsidRPr="00244572">
        <w:rPr>
          <w:rFonts w:ascii="Times New Roman" w:hAnsi="Times New Roman" w:cs="Times New Roman"/>
          <w:sz w:val="28"/>
          <w:szCs w:val="28"/>
          <w:lang w:val="en-US"/>
        </w:rPr>
        <w:t>admitted failure to notify</w:t>
      </w:r>
      <w:r w:rsidR="00205E62" w:rsidRPr="00244572">
        <w:rPr>
          <w:rFonts w:ascii="Times New Roman" w:hAnsi="Times New Roman" w:cs="Times New Roman"/>
          <w:sz w:val="28"/>
          <w:szCs w:val="28"/>
          <w:lang w:val="en-US"/>
        </w:rPr>
        <w:t xml:space="preserve"> </w:t>
      </w:r>
      <w:r w:rsidR="00244572">
        <w:rPr>
          <w:rFonts w:ascii="Times New Roman" w:hAnsi="Times New Roman" w:cs="Times New Roman"/>
          <w:sz w:val="28"/>
          <w:szCs w:val="28"/>
          <w:lang w:val="en-US"/>
        </w:rPr>
        <w:t xml:space="preserve">at least </w:t>
      </w:r>
      <w:r w:rsidR="003D2A4C" w:rsidRPr="00244572">
        <w:rPr>
          <w:rFonts w:ascii="Times New Roman" w:hAnsi="Times New Roman" w:cs="Times New Roman"/>
          <w:sz w:val="28"/>
          <w:szCs w:val="28"/>
          <w:lang w:val="en-US"/>
        </w:rPr>
        <w:t>one member of the executive committee of the meeting</w:t>
      </w:r>
      <w:r w:rsidR="008655D3">
        <w:rPr>
          <w:rFonts w:ascii="Times New Roman" w:hAnsi="Times New Roman" w:cs="Times New Roman"/>
          <w:sz w:val="28"/>
          <w:szCs w:val="28"/>
          <w:lang w:val="en-US"/>
        </w:rPr>
        <w:t xml:space="preserve"> of that committee</w:t>
      </w:r>
      <w:r w:rsidR="003D2A4C" w:rsidRPr="00244572">
        <w:rPr>
          <w:rFonts w:ascii="Times New Roman" w:hAnsi="Times New Roman" w:cs="Times New Roman"/>
          <w:sz w:val="28"/>
          <w:szCs w:val="28"/>
          <w:lang w:val="en-US"/>
        </w:rPr>
        <w:t xml:space="preserve">, the </w:t>
      </w:r>
      <w:r w:rsidRPr="00244572">
        <w:rPr>
          <w:rFonts w:ascii="Times New Roman" w:hAnsi="Times New Roman" w:cs="Times New Roman"/>
          <w:sz w:val="28"/>
          <w:szCs w:val="28"/>
          <w:lang w:val="en-US"/>
        </w:rPr>
        <w:t>lack of evidence as to the recipients of the e-mail</w:t>
      </w:r>
      <w:r w:rsidR="003D2A4C" w:rsidRPr="00244572">
        <w:rPr>
          <w:rFonts w:ascii="Times New Roman" w:hAnsi="Times New Roman" w:cs="Times New Roman"/>
          <w:sz w:val="28"/>
          <w:szCs w:val="28"/>
          <w:lang w:val="en-US"/>
        </w:rPr>
        <w:t xml:space="preserve"> giving notice of the </w:t>
      </w:r>
      <w:r w:rsidR="00AE44B9" w:rsidRPr="00244572">
        <w:rPr>
          <w:rFonts w:ascii="Times New Roman" w:hAnsi="Times New Roman" w:cs="Times New Roman"/>
          <w:sz w:val="28"/>
          <w:szCs w:val="28"/>
          <w:lang w:val="en-US"/>
        </w:rPr>
        <w:t>holding</w:t>
      </w:r>
      <w:r w:rsidR="003D2A4C" w:rsidRPr="00244572">
        <w:rPr>
          <w:rFonts w:ascii="Times New Roman" w:hAnsi="Times New Roman" w:cs="Times New Roman"/>
          <w:sz w:val="28"/>
          <w:szCs w:val="28"/>
          <w:lang w:val="en-US"/>
        </w:rPr>
        <w:t xml:space="preserve"> of a meeting </w:t>
      </w:r>
      <w:r w:rsidR="00AE44B9" w:rsidRPr="00244572">
        <w:rPr>
          <w:rFonts w:ascii="Times New Roman" w:hAnsi="Times New Roman" w:cs="Times New Roman"/>
          <w:sz w:val="28"/>
          <w:szCs w:val="28"/>
          <w:lang w:val="en-US"/>
        </w:rPr>
        <w:t>of</w:t>
      </w:r>
      <w:r w:rsidR="003D2A4C" w:rsidRPr="00244572">
        <w:rPr>
          <w:rFonts w:ascii="Times New Roman" w:hAnsi="Times New Roman" w:cs="Times New Roman"/>
          <w:sz w:val="28"/>
          <w:szCs w:val="28"/>
          <w:lang w:val="en-US"/>
        </w:rPr>
        <w:t xml:space="preserve"> members</w:t>
      </w:r>
      <w:r w:rsidRPr="00244572">
        <w:rPr>
          <w:rFonts w:ascii="Times New Roman" w:hAnsi="Times New Roman" w:cs="Times New Roman"/>
          <w:sz w:val="28"/>
          <w:szCs w:val="28"/>
          <w:lang w:val="en-US"/>
        </w:rPr>
        <w:t xml:space="preserve">, the fact that it is acknowledged by Ms. </w:t>
      </w:r>
      <w:r w:rsidR="00C6149E" w:rsidRPr="00244572">
        <w:rPr>
          <w:rFonts w:ascii="Times New Roman" w:hAnsi="Times New Roman" w:cs="Times New Roman"/>
          <w:sz w:val="28"/>
          <w:szCs w:val="28"/>
          <w:lang w:val="en-US"/>
        </w:rPr>
        <w:t>Herraty</w:t>
      </w:r>
      <w:r w:rsidRPr="00244572">
        <w:rPr>
          <w:rFonts w:ascii="Times New Roman" w:hAnsi="Times New Roman" w:cs="Times New Roman"/>
          <w:sz w:val="28"/>
          <w:szCs w:val="28"/>
          <w:lang w:val="en-US"/>
        </w:rPr>
        <w:t xml:space="preserve"> that 20 at least of the members did not receive the e-mail notice, the fact that it </w:t>
      </w:r>
      <w:r w:rsidRPr="00244572">
        <w:rPr>
          <w:rFonts w:ascii="Times New Roman" w:hAnsi="Times New Roman" w:cs="Times New Roman"/>
          <w:sz w:val="28"/>
          <w:szCs w:val="28"/>
          <w:lang w:val="en-US"/>
        </w:rPr>
        <w:lastRenderedPageBreak/>
        <w:t xml:space="preserve">was known that there were IT issues which had caused erroneous emails to be sent to persons notifying them that their membership had been cancelled, </w:t>
      </w:r>
      <w:r w:rsidR="00205E62" w:rsidRPr="00244572">
        <w:rPr>
          <w:rFonts w:ascii="Times New Roman" w:hAnsi="Times New Roman" w:cs="Times New Roman"/>
          <w:sz w:val="28"/>
          <w:szCs w:val="28"/>
          <w:lang w:val="en-US"/>
        </w:rPr>
        <w:t xml:space="preserve">and the fact that the notice did not identify the important matters intended to be considered, </w:t>
      </w:r>
      <w:r w:rsidRPr="00244572">
        <w:rPr>
          <w:rFonts w:ascii="Times New Roman" w:hAnsi="Times New Roman" w:cs="Times New Roman"/>
          <w:sz w:val="28"/>
          <w:szCs w:val="28"/>
          <w:lang w:val="en-US"/>
        </w:rPr>
        <w:t xml:space="preserve">all combine to lead the </w:t>
      </w:r>
      <w:r w:rsidR="00B81FDE" w:rsidRPr="00244572">
        <w:rPr>
          <w:rFonts w:ascii="Times New Roman" w:hAnsi="Times New Roman" w:cs="Times New Roman"/>
          <w:sz w:val="28"/>
          <w:szCs w:val="28"/>
          <w:lang w:val="en-US"/>
        </w:rPr>
        <w:t>Board</w:t>
      </w:r>
      <w:r w:rsidRPr="00244572">
        <w:rPr>
          <w:rFonts w:ascii="Times New Roman" w:hAnsi="Times New Roman" w:cs="Times New Roman"/>
          <w:sz w:val="28"/>
          <w:szCs w:val="28"/>
          <w:lang w:val="en-US"/>
        </w:rPr>
        <w:t xml:space="preserve"> to the view that the notice </w:t>
      </w:r>
      <w:r w:rsidR="00205E62" w:rsidRPr="00244572">
        <w:rPr>
          <w:rFonts w:ascii="Times New Roman" w:hAnsi="Times New Roman" w:cs="Times New Roman"/>
          <w:sz w:val="28"/>
          <w:szCs w:val="28"/>
          <w:lang w:val="en-US"/>
        </w:rPr>
        <w:t xml:space="preserve">of the meeting of members </w:t>
      </w:r>
      <w:r w:rsidRPr="00244572">
        <w:rPr>
          <w:rFonts w:ascii="Times New Roman" w:hAnsi="Times New Roman" w:cs="Times New Roman"/>
          <w:sz w:val="28"/>
          <w:szCs w:val="28"/>
          <w:lang w:val="en-US"/>
        </w:rPr>
        <w:t xml:space="preserve">was inadequate in a number of respects. First, it cannot be shown that it was sent to all </w:t>
      </w:r>
      <w:proofErr w:type="gramStart"/>
      <w:r w:rsidRPr="00244572">
        <w:rPr>
          <w:rFonts w:ascii="Times New Roman" w:hAnsi="Times New Roman" w:cs="Times New Roman"/>
          <w:sz w:val="28"/>
          <w:szCs w:val="28"/>
          <w:lang w:val="en-US"/>
        </w:rPr>
        <w:t>persons</w:t>
      </w:r>
      <w:proofErr w:type="gramEnd"/>
      <w:r w:rsidRPr="00244572">
        <w:rPr>
          <w:rFonts w:ascii="Times New Roman" w:hAnsi="Times New Roman" w:cs="Times New Roman"/>
          <w:sz w:val="28"/>
          <w:szCs w:val="28"/>
          <w:lang w:val="en-US"/>
        </w:rPr>
        <w:t xml:space="preserve"> entitled to receive it. Second</w:t>
      </w:r>
      <w:r w:rsidR="00205E62" w:rsidRPr="00244572">
        <w:rPr>
          <w:rFonts w:ascii="Times New Roman" w:hAnsi="Times New Roman" w:cs="Times New Roman"/>
          <w:sz w:val="28"/>
          <w:szCs w:val="28"/>
          <w:lang w:val="en-US"/>
        </w:rPr>
        <w:t>,</w:t>
      </w:r>
      <w:r w:rsidRPr="00244572">
        <w:rPr>
          <w:rFonts w:ascii="Times New Roman" w:hAnsi="Times New Roman" w:cs="Times New Roman"/>
          <w:sz w:val="28"/>
          <w:szCs w:val="28"/>
          <w:lang w:val="en-US"/>
        </w:rPr>
        <w:t xml:space="preserve"> it did not contain reasonable or adequate notice as to the matters intended to be discussed</w:t>
      </w:r>
      <w:r w:rsidR="003D2A4C" w:rsidRPr="00244572">
        <w:rPr>
          <w:rFonts w:ascii="Times New Roman" w:hAnsi="Times New Roman" w:cs="Times New Roman"/>
          <w:sz w:val="28"/>
          <w:szCs w:val="28"/>
          <w:lang w:val="en-US"/>
        </w:rPr>
        <w:t>, and</w:t>
      </w:r>
      <w:r w:rsidRPr="00244572">
        <w:rPr>
          <w:rFonts w:ascii="Times New Roman" w:hAnsi="Times New Roman" w:cs="Times New Roman"/>
          <w:sz w:val="28"/>
          <w:szCs w:val="28"/>
          <w:lang w:val="en-US"/>
        </w:rPr>
        <w:t xml:space="preserve"> voted </w:t>
      </w:r>
      <w:proofErr w:type="gramStart"/>
      <w:r w:rsidRPr="00244572">
        <w:rPr>
          <w:rFonts w:ascii="Times New Roman" w:hAnsi="Times New Roman" w:cs="Times New Roman"/>
          <w:sz w:val="28"/>
          <w:szCs w:val="28"/>
          <w:lang w:val="en-US"/>
        </w:rPr>
        <w:t>upon</w:t>
      </w:r>
      <w:r w:rsidR="003D2A4C" w:rsidRPr="00244572">
        <w:rPr>
          <w:rFonts w:ascii="Times New Roman" w:hAnsi="Times New Roman" w:cs="Times New Roman"/>
          <w:sz w:val="28"/>
          <w:szCs w:val="28"/>
          <w:lang w:val="en-US"/>
        </w:rPr>
        <w:t>,</w:t>
      </w:r>
      <w:proofErr w:type="gramEnd"/>
      <w:r w:rsidRPr="00244572">
        <w:rPr>
          <w:rFonts w:ascii="Times New Roman" w:hAnsi="Times New Roman" w:cs="Times New Roman"/>
          <w:sz w:val="28"/>
          <w:szCs w:val="28"/>
          <w:lang w:val="en-US"/>
        </w:rPr>
        <w:t xml:space="preserve"> at the meeting, particularly as it was clear to the executive committee that the election of new committee members was intended. The </w:t>
      </w:r>
      <w:r w:rsidR="00B81FDE" w:rsidRPr="00244572">
        <w:rPr>
          <w:rFonts w:ascii="Times New Roman" w:hAnsi="Times New Roman" w:cs="Times New Roman"/>
          <w:sz w:val="28"/>
          <w:szCs w:val="28"/>
          <w:lang w:val="en-US"/>
        </w:rPr>
        <w:t>Board</w:t>
      </w:r>
      <w:r w:rsidRPr="00244572">
        <w:rPr>
          <w:rFonts w:ascii="Times New Roman" w:hAnsi="Times New Roman" w:cs="Times New Roman"/>
          <w:sz w:val="28"/>
          <w:szCs w:val="28"/>
          <w:lang w:val="en-US"/>
        </w:rPr>
        <w:t xml:space="preserve"> does not need to resolve contested issues of facts to come to this conclusion and reaches this decision on the uncontested evidence both as to </w:t>
      </w:r>
      <w:r w:rsidR="008655D3">
        <w:rPr>
          <w:rFonts w:ascii="Times New Roman" w:hAnsi="Times New Roman" w:cs="Times New Roman"/>
          <w:sz w:val="28"/>
          <w:szCs w:val="28"/>
          <w:lang w:val="en-US"/>
        </w:rPr>
        <w:t xml:space="preserve">the notification of </w:t>
      </w:r>
      <w:r w:rsidRPr="00244572">
        <w:rPr>
          <w:rFonts w:ascii="Times New Roman" w:hAnsi="Times New Roman" w:cs="Times New Roman"/>
          <w:sz w:val="28"/>
          <w:szCs w:val="28"/>
          <w:lang w:val="en-US"/>
        </w:rPr>
        <w:t xml:space="preserve">and content </w:t>
      </w:r>
      <w:r w:rsidR="008655D3">
        <w:rPr>
          <w:rFonts w:ascii="Times New Roman" w:hAnsi="Times New Roman" w:cs="Times New Roman"/>
          <w:sz w:val="28"/>
          <w:szCs w:val="28"/>
          <w:lang w:val="en-US"/>
        </w:rPr>
        <w:t xml:space="preserve">of the notice, </w:t>
      </w:r>
      <w:r w:rsidRPr="00244572">
        <w:rPr>
          <w:rFonts w:ascii="Times New Roman" w:hAnsi="Times New Roman" w:cs="Times New Roman"/>
          <w:sz w:val="28"/>
          <w:szCs w:val="28"/>
          <w:lang w:val="en-US"/>
        </w:rPr>
        <w:t xml:space="preserve">all of which need to be seen in the context when notice was at best very short indeed and the attendance at the meeting </w:t>
      </w:r>
      <w:r w:rsidR="008655D3">
        <w:rPr>
          <w:rFonts w:ascii="Times New Roman" w:hAnsi="Times New Roman" w:cs="Times New Roman"/>
          <w:sz w:val="28"/>
          <w:szCs w:val="28"/>
          <w:lang w:val="en-US"/>
        </w:rPr>
        <w:t xml:space="preserve">of members, at which the impugned decisions were taken, </w:t>
      </w:r>
      <w:r w:rsidRPr="00244572">
        <w:rPr>
          <w:rFonts w:ascii="Times New Roman" w:hAnsi="Times New Roman" w:cs="Times New Roman"/>
          <w:sz w:val="28"/>
          <w:szCs w:val="28"/>
          <w:lang w:val="en-US"/>
        </w:rPr>
        <w:t>was a very small fraction of the members entitled to attend and vote.</w:t>
      </w:r>
    </w:p>
    <w:p w14:paraId="76CCAEA8" w14:textId="77777777" w:rsidR="00244572" w:rsidRDefault="00244572" w:rsidP="00244572">
      <w:pPr>
        <w:pStyle w:val="ListParagraph"/>
        <w:spacing w:line="480" w:lineRule="auto"/>
        <w:ind w:left="785"/>
        <w:jc w:val="both"/>
        <w:rPr>
          <w:rFonts w:ascii="Times New Roman" w:hAnsi="Times New Roman" w:cs="Times New Roman"/>
          <w:sz w:val="28"/>
          <w:szCs w:val="28"/>
          <w:lang w:val="en-US"/>
        </w:rPr>
      </w:pPr>
    </w:p>
    <w:p w14:paraId="32EAE17B" w14:textId="437164FF" w:rsidR="00244572" w:rsidRPr="008655D3" w:rsidRDefault="00721F35" w:rsidP="00244572">
      <w:pPr>
        <w:pStyle w:val="ListParagraph"/>
        <w:numPr>
          <w:ilvl w:val="0"/>
          <w:numId w:val="1"/>
        </w:numPr>
        <w:spacing w:line="480" w:lineRule="auto"/>
        <w:jc w:val="both"/>
        <w:rPr>
          <w:rFonts w:ascii="Times New Roman" w:hAnsi="Times New Roman" w:cs="Times New Roman"/>
          <w:sz w:val="28"/>
          <w:szCs w:val="28"/>
          <w:lang w:val="en-US"/>
        </w:rPr>
      </w:pPr>
      <w:r w:rsidRPr="008655D3">
        <w:rPr>
          <w:rFonts w:ascii="Times New Roman" w:hAnsi="Times New Roman" w:cs="Times New Roman"/>
          <w:sz w:val="28"/>
          <w:szCs w:val="28"/>
        </w:rPr>
        <w:t xml:space="preserve">The notice did </w:t>
      </w:r>
      <w:r w:rsidR="00405D11" w:rsidRPr="008655D3">
        <w:rPr>
          <w:rFonts w:ascii="Times New Roman" w:hAnsi="Times New Roman" w:cs="Times New Roman"/>
          <w:sz w:val="28"/>
          <w:szCs w:val="28"/>
        </w:rPr>
        <w:t xml:space="preserve">not </w:t>
      </w:r>
      <w:r w:rsidRPr="008655D3">
        <w:rPr>
          <w:rFonts w:ascii="Times New Roman" w:hAnsi="Times New Roman" w:cs="Times New Roman"/>
          <w:sz w:val="28"/>
          <w:szCs w:val="28"/>
        </w:rPr>
        <w:t xml:space="preserve">meet the legal test of reasonableness in those circumstances, </w:t>
      </w:r>
      <w:r w:rsidR="00405D11" w:rsidRPr="008655D3">
        <w:rPr>
          <w:rFonts w:ascii="Times New Roman" w:hAnsi="Times New Roman" w:cs="Times New Roman"/>
          <w:sz w:val="28"/>
          <w:szCs w:val="28"/>
        </w:rPr>
        <w:t xml:space="preserve">and </w:t>
      </w:r>
      <w:r w:rsidRPr="008655D3">
        <w:rPr>
          <w:rFonts w:ascii="Times New Roman" w:hAnsi="Times New Roman" w:cs="Times New Roman"/>
          <w:sz w:val="28"/>
          <w:szCs w:val="28"/>
        </w:rPr>
        <w:t xml:space="preserve">was less than one might </w:t>
      </w:r>
      <w:r w:rsidR="00244572" w:rsidRPr="008655D3">
        <w:rPr>
          <w:rFonts w:ascii="Times New Roman" w:hAnsi="Times New Roman" w:cs="Times New Roman"/>
          <w:sz w:val="28"/>
          <w:szCs w:val="28"/>
        </w:rPr>
        <w:t xml:space="preserve">expect </w:t>
      </w:r>
      <w:r w:rsidRPr="008655D3">
        <w:rPr>
          <w:rFonts w:ascii="Times New Roman" w:hAnsi="Times New Roman" w:cs="Times New Roman"/>
          <w:sz w:val="28"/>
          <w:szCs w:val="28"/>
        </w:rPr>
        <w:t>in a political party</w:t>
      </w:r>
      <w:r w:rsidR="00205E62" w:rsidRPr="008655D3">
        <w:rPr>
          <w:rFonts w:ascii="Times New Roman" w:hAnsi="Times New Roman" w:cs="Times New Roman"/>
          <w:sz w:val="28"/>
          <w:szCs w:val="28"/>
        </w:rPr>
        <w:t xml:space="preserve">.   The </w:t>
      </w:r>
      <w:r w:rsidR="008655D3" w:rsidRPr="008655D3">
        <w:rPr>
          <w:rFonts w:ascii="Times New Roman" w:hAnsi="Times New Roman" w:cs="Times New Roman"/>
          <w:sz w:val="28"/>
          <w:szCs w:val="28"/>
        </w:rPr>
        <w:t xml:space="preserve">meeting of the executive committee was not validly constituted.  The meeting of members was flawed on account of the inadequacy of the </w:t>
      </w:r>
      <w:r w:rsidR="008655D3" w:rsidRPr="008655D3">
        <w:rPr>
          <w:rFonts w:ascii="Times New Roman" w:hAnsi="Times New Roman" w:cs="Times New Roman"/>
          <w:sz w:val="28"/>
          <w:szCs w:val="28"/>
        </w:rPr>
        <w:lastRenderedPageBreak/>
        <w:t xml:space="preserve">notice.  The </w:t>
      </w:r>
      <w:r w:rsidR="00205E62" w:rsidRPr="008655D3">
        <w:rPr>
          <w:rFonts w:ascii="Times New Roman" w:hAnsi="Times New Roman" w:cs="Times New Roman"/>
          <w:sz w:val="28"/>
          <w:szCs w:val="28"/>
        </w:rPr>
        <w:t>decisions taken at the meeting</w:t>
      </w:r>
      <w:r w:rsidR="008655D3" w:rsidRPr="008655D3">
        <w:rPr>
          <w:rFonts w:ascii="Times New Roman" w:hAnsi="Times New Roman" w:cs="Times New Roman"/>
          <w:sz w:val="28"/>
          <w:szCs w:val="28"/>
        </w:rPr>
        <w:t>s</w:t>
      </w:r>
      <w:r w:rsidR="00205E62" w:rsidRPr="008655D3">
        <w:rPr>
          <w:rFonts w:ascii="Times New Roman" w:hAnsi="Times New Roman" w:cs="Times New Roman"/>
          <w:sz w:val="28"/>
          <w:szCs w:val="28"/>
        </w:rPr>
        <w:t xml:space="preserve"> were therefore not validly taken and are not operative.  </w:t>
      </w:r>
    </w:p>
    <w:p w14:paraId="41714EDA" w14:textId="77777777" w:rsidR="00244572" w:rsidRPr="00244572" w:rsidRDefault="00244572" w:rsidP="00244572">
      <w:pPr>
        <w:pStyle w:val="ListParagraph"/>
        <w:spacing w:line="480" w:lineRule="auto"/>
        <w:ind w:left="785"/>
        <w:jc w:val="both"/>
        <w:rPr>
          <w:rFonts w:ascii="Times New Roman" w:hAnsi="Times New Roman" w:cs="Times New Roman"/>
          <w:sz w:val="28"/>
          <w:szCs w:val="28"/>
          <w:lang w:val="en-US"/>
        </w:rPr>
      </w:pPr>
    </w:p>
    <w:p w14:paraId="3BB7F324" w14:textId="12ADB22B" w:rsidR="00721F35" w:rsidRPr="00244572" w:rsidRDefault="00721F35" w:rsidP="00244572">
      <w:pPr>
        <w:spacing w:line="480" w:lineRule="auto"/>
        <w:jc w:val="both"/>
        <w:rPr>
          <w:rFonts w:ascii="Times New Roman" w:hAnsi="Times New Roman" w:cs="Times New Roman"/>
          <w:sz w:val="28"/>
          <w:szCs w:val="28"/>
          <w:lang w:val="en-US"/>
        </w:rPr>
      </w:pPr>
      <w:r w:rsidRPr="00244572">
        <w:rPr>
          <w:rFonts w:ascii="Times New Roman" w:hAnsi="Times New Roman" w:cs="Times New Roman"/>
          <w:b/>
          <w:bCs/>
          <w:sz w:val="28"/>
          <w:szCs w:val="28"/>
          <w:u w:val="single"/>
        </w:rPr>
        <w:t xml:space="preserve">Decision </w:t>
      </w:r>
    </w:p>
    <w:p w14:paraId="3FD9EA34" w14:textId="45588552" w:rsidR="008655D3" w:rsidRPr="008655D3" w:rsidRDefault="00841BF0" w:rsidP="008655D3">
      <w:pPr>
        <w:spacing w:line="480" w:lineRule="auto"/>
        <w:jc w:val="both"/>
        <w:rPr>
          <w:rFonts w:ascii="Times New Roman" w:hAnsi="Times New Roman" w:cs="Times New Roman"/>
          <w:sz w:val="28"/>
          <w:szCs w:val="28"/>
          <w:lang w:val="en-US"/>
        </w:rPr>
      </w:pPr>
      <w:r w:rsidRPr="00C542E5">
        <w:rPr>
          <w:noProof/>
          <w:lang w:eastAsia="en-IE"/>
        </w:rPr>
        <w:drawing>
          <wp:anchor distT="0" distB="0" distL="114300" distR="114300" simplePos="0" relativeHeight="251658240" behindDoc="0" locked="0" layoutInCell="1" allowOverlap="1" wp14:anchorId="738CA216" wp14:editId="6FFF815D">
            <wp:simplePos x="0" y="0"/>
            <wp:positionH relativeFrom="margin">
              <wp:align>left</wp:align>
            </wp:positionH>
            <wp:positionV relativeFrom="paragraph">
              <wp:posOffset>876300</wp:posOffset>
            </wp:positionV>
            <wp:extent cx="2278380" cy="869096"/>
            <wp:effectExtent l="0" t="0" r="7620" b="7620"/>
            <wp:wrapThrough wrapText="bothSides">
              <wp:wrapPolygon edited="0">
                <wp:start x="0" y="0"/>
                <wp:lineTo x="0" y="21316"/>
                <wp:lineTo x="21492" y="21316"/>
                <wp:lineTo x="2149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8380" cy="869096"/>
                    </a:xfrm>
                    <a:prstGeom prst="rect">
                      <a:avLst/>
                    </a:prstGeom>
                    <a:noFill/>
                    <a:ln>
                      <a:noFill/>
                    </a:ln>
                  </pic:spPr>
                </pic:pic>
              </a:graphicData>
            </a:graphic>
          </wp:anchor>
        </w:drawing>
      </w:r>
      <w:r w:rsidR="00244572" w:rsidRPr="008655D3">
        <w:rPr>
          <w:rFonts w:ascii="Times New Roman" w:hAnsi="Times New Roman" w:cs="Times New Roman"/>
          <w:sz w:val="28"/>
          <w:szCs w:val="28"/>
        </w:rPr>
        <w:t>F</w:t>
      </w:r>
      <w:r w:rsidR="00205E62" w:rsidRPr="008655D3">
        <w:rPr>
          <w:rFonts w:ascii="Times New Roman" w:hAnsi="Times New Roman" w:cs="Times New Roman"/>
          <w:sz w:val="28"/>
          <w:szCs w:val="28"/>
        </w:rPr>
        <w:t xml:space="preserve">or the reasons stated </w:t>
      </w:r>
      <w:r w:rsidR="00721F35" w:rsidRPr="008655D3">
        <w:rPr>
          <w:rFonts w:ascii="Times New Roman" w:hAnsi="Times New Roman" w:cs="Times New Roman"/>
          <w:sz w:val="28"/>
          <w:szCs w:val="28"/>
        </w:rPr>
        <w:t xml:space="preserve">the </w:t>
      </w:r>
      <w:r w:rsidR="003D2A4C" w:rsidRPr="008655D3">
        <w:rPr>
          <w:rFonts w:ascii="Times New Roman" w:hAnsi="Times New Roman" w:cs="Times New Roman"/>
          <w:sz w:val="28"/>
          <w:szCs w:val="28"/>
        </w:rPr>
        <w:t>Board</w:t>
      </w:r>
      <w:r w:rsidR="00721F35" w:rsidRPr="008655D3">
        <w:rPr>
          <w:rFonts w:ascii="Times New Roman" w:hAnsi="Times New Roman" w:cs="Times New Roman"/>
          <w:sz w:val="28"/>
          <w:szCs w:val="28"/>
        </w:rPr>
        <w:t xml:space="preserve"> </w:t>
      </w:r>
      <w:r w:rsidR="00405D11" w:rsidRPr="008655D3">
        <w:rPr>
          <w:rFonts w:ascii="Times New Roman" w:hAnsi="Times New Roman" w:cs="Times New Roman"/>
          <w:sz w:val="28"/>
          <w:szCs w:val="28"/>
        </w:rPr>
        <w:t xml:space="preserve">allows </w:t>
      </w:r>
      <w:r w:rsidR="00721F35" w:rsidRPr="008655D3">
        <w:rPr>
          <w:rFonts w:ascii="Times New Roman" w:hAnsi="Times New Roman" w:cs="Times New Roman"/>
          <w:sz w:val="28"/>
          <w:szCs w:val="28"/>
        </w:rPr>
        <w:t>the appeal of</w:t>
      </w:r>
      <w:r w:rsidR="00405D11" w:rsidRPr="008655D3">
        <w:rPr>
          <w:rFonts w:ascii="Times New Roman" w:hAnsi="Times New Roman" w:cs="Times New Roman"/>
          <w:sz w:val="28"/>
          <w:szCs w:val="28"/>
        </w:rPr>
        <w:t xml:space="preserve"> Ms</w:t>
      </w:r>
      <w:r w:rsidR="008655D3">
        <w:rPr>
          <w:rFonts w:ascii="Times New Roman" w:hAnsi="Times New Roman" w:cs="Times New Roman"/>
          <w:sz w:val="28"/>
          <w:szCs w:val="28"/>
        </w:rPr>
        <w:t>.</w:t>
      </w:r>
      <w:r w:rsidR="00405D11" w:rsidRPr="008655D3">
        <w:rPr>
          <w:rFonts w:ascii="Times New Roman" w:hAnsi="Times New Roman" w:cs="Times New Roman"/>
          <w:sz w:val="28"/>
          <w:szCs w:val="28"/>
        </w:rPr>
        <w:t xml:space="preserve"> Maguire</w:t>
      </w:r>
      <w:r w:rsidR="008655D3" w:rsidRPr="008655D3">
        <w:rPr>
          <w:rFonts w:ascii="Times New Roman" w:hAnsi="Times New Roman" w:cs="Times New Roman"/>
          <w:sz w:val="28"/>
          <w:szCs w:val="28"/>
        </w:rPr>
        <w:t>.  The register of authorised officers remains unchanged.</w:t>
      </w:r>
    </w:p>
    <w:p w14:paraId="74369383" w14:textId="797BDDE0" w:rsidR="00841BF0" w:rsidRDefault="00841BF0" w:rsidP="008655D3">
      <w:pPr>
        <w:pStyle w:val="ListParagraph"/>
        <w:spacing w:line="480" w:lineRule="auto"/>
        <w:ind w:left="785"/>
        <w:jc w:val="both"/>
        <w:rPr>
          <w:rFonts w:ascii="Times New Roman" w:hAnsi="Times New Roman" w:cs="Times New Roman"/>
          <w:sz w:val="28"/>
          <w:szCs w:val="28"/>
        </w:rPr>
      </w:pPr>
    </w:p>
    <w:p w14:paraId="4D5EBC7D" w14:textId="3844E02A" w:rsidR="00721F35" w:rsidRPr="00244572" w:rsidRDefault="00721F35" w:rsidP="00841BF0">
      <w:pPr>
        <w:pStyle w:val="ListParagraph"/>
        <w:spacing w:line="480" w:lineRule="auto"/>
        <w:ind w:left="785"/>
        <w:jc w:val="both"/>
        <w:rPr>
          <w:rFonts w:ascii="Times New Roman" w:hAnsi="Times New Roman" w:cs="Times New Roman"/>
          <w:sz w:val="28"/>
          <w:szCs w:val="28"/>
          <w:lang w:val="en-US"/>
        </w:rPr>
      </w:pPr>
      <w:r w:rsidRPr="00244572">
        <w:rPr>
          <w:rFonts w:ascii="Times New Roman" w:hAnsi="Times New Roman" w:cs="Times New Roman"/>
          <w:sz w:val="28"/>
          <w:szCs w:val="28"/>
        </w:rPr>
        <w:t xml:space="preserve">  </w:t>
      </w:r>
    </w:p>
    <w:p w14:paraId="47B49A3F" w14:textId="5FCB37E4" w:rsidR="00244572" w:rsidRDefault="00721F35" w:rsidP="00721F35">
      <w:pPr>
        <w:spacing w:line="360" w:lineRule="auto"/>
        <w:jc w:val="both"/>
        <w:rPr>
          <w:rFonts w:ascii="Times New Roman" w:hAnsi="Times New Roman" w:cs="Times New Roman"/>
          <w:sz w:val="28"/>
          <w:szCs w:val="28"/>
        </w:rPr>
      </w:pPr>
      <w:r>
        <w:rPr>
          <w:rFonts w:ascii="Times New Roman" w:hAnsi="Times New Roman" w:cs="Times New Roman"/>
          <w:sz w:val="28"/>
          <w:szCs w:val="28"/>
        </w:rPr>
        <w:t>Marie Baker</w:t>
      </w:r>
      <w:r w:rsidR="00244572">
        <w:rPr>
          <w:rFonts w:ascii="Times New Roman" w:hAnsi="Times New Roman" w:cs="Times New Roman"/>
          <w:sz w:val="28"/>
          <w:szCs w:val="28"/>
        </w:rPr>
        <w:t>, Chairperson</w:t>
      </w:r>
    </w:p>
    <w:p w14:paraId="420937A6" w14:textId="071E34BB" w:rsidR="00244572" w:rsidRDefault="00244572" w:rsidP="00721F3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An Coimisiún Toghcháin </w:t>
      </w:r>
    </w:p>
    <w:p w14:paraId="32536402" w14:textId="77777777" w:rsidR="00244572" w:rsidRDefault="00721F35" w:rsidP="00721F35">
      <w:pPr>
        <w:spacing w:line="360" w:lineRule="auto"/>
        <w:jc w:val="both"/>
        <w:rPr>
          <w:rFonts w:ascii="Times New Roman" w:hAnsi="Times New Roman" w:cs="Times New Roman"/>
          <w:sz w:val="28"/>
          <w:szCs w:val="28"/>
        </w:rPr>
      </w:pPr>
      <w:r>
        <w:rPr>
          <w:rFonts w:ascii="Times New Roman" w:hAnsi="Times New Roman" w:cs="Times New Roman"/>
          <w:sz w:val="28"/>
          <w:szCs w:val="28"/>
        </w:rPr>
        <w:t>Dublin Castle</w:t>
      </w:r>
    </w:p>
    <w:p w14:paraId="1F415788" w14:textId="77777777" w:rsidR="00244572" w:rsidRDefault="00244572" w:rsidP="00721F3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Dublin </w:t>
      </w:r>
    </w:p>
    <w:p w14:paraId="1B483580" w14:textId="73BDF8BA" w:rsidR="00721F35" w:rsidRDefault="00244572" w:rsidP="00721F35">
      <w:pPr>
        <w:spacing w:line="360" w:lineRule="auto"/>
        <w:jc w:val="both"/>
        <w:rPr>
          <w:rFonts w:ascii="Times New Roman" w:hAnsi="Times New Roman" w:cs="Times New Roman"/>
          <w:sz w:val="28"/>
          <w:szCs w:val="28"/>
        </w:rPr>
      </w:pPr>
      <w:r>
        <w:rPr>
          <w:rFonts w:ascii="Times New Roman" w:hAnsi="Times New Roman" w:cs="Times New Roman"/>
          <w:sz w:val="28"/>
          <w:szCs w:val="28"/>
        </w:rPr>
        <w:t>July 1</w:t>
      </w:r>
      <w:r w:rsidR="008655D3">
        <w:rPr>
          <w:rFonts w:ascii="Times New Roman" w:hAnsi="Times New Roman" w:cs="Times New Roman"/>
          <w:sz w:val="28"/>
          <w:szCs w:val="28"/>
        </w:rPr>
        <w:t>3,</w:t>
      </w:r>
      <w:r>
        <w:rPr>
          <w:rFonts w:ascii="Times New Roman" w:hAnsi="Times New Roman" w:cs="Times New Roman"/>
          <w:sz w:val="28"/>
          <w:szCs w:val="28"/>
        </w:rPr>
        <w:t xml:space="preserve"> 2026</w:t>
      </w:r>
      <w:r w:rsidR="00721F35">
        <w:rPr>
          <w:rFonts w:ascii="Times New Roman" w:hAnsi="Times New Roman" w:cs="Times New Roman"/>
          <w:sz w:val="28"/>
          <w:szCs w:val="28"/>
        </w:rPr>
        <w:t xml:space="preserve"> </w:t>
      </w:r>
    </w:p>
    <w:p w14:paraId="4ADF46EF" w14:textId="77777777" w:rsidR="00171744" w:rsidRDefault="00171744" w:rsidP="00171744">
      <w:pPr>
        <w:spacing w:line="480" w:lineRule="auto"/>
        <w:ind w:left="360"/>
        <w:jc w:val="both"/>
        <w:rPr>
          <w:rFonts w:ascii="Times New Roman" w:hAnsi="Times New Roman" w:cs="Times New Roman"/>
          <w:b/>
          <w:bCs/>
          <w:sz w:val="28"/>
          <w:szCs w:val="28"/>
        </w:rPr>
      </w:pPr>
    </w:p>
    <w:p w14:paraId="3467D37B" w14:textId="77777777" w:rsidR="00C00D1A" w:rsidRDefault="00C00D1A"/>
    <w:sectPr w:rsidR="00C00D1A" w:rsidSect="002117D9">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26F2" w14:textId="77777777" w:rsidR="00D3778A" w:rsidRDefault="00D3778A" w:rsidP="00171744">
      <w:pPr>
        <w:spacing w:after="0" w:line="240" w:lineRule="auto"/>
      </w:pPr>
      <w:r>
        <w:separator/>
      </w:r>
    </w:p>
  </w:endnote>
  <w:endnote w:type="continuationSeparator" w:id="0">
    <w:p w14:paraId="478C960F" w14:textId="77777777" w:rsidR="00D3778A" w:rsidRDefault="00D3778A" w:rsidP="0017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7B67" w14:textId="0F723FE1" w:rsidR="002117D9" w:rsidRDefault="002117D9">
    <w:pPr>
      <w:pStyle w:val="Footer"/>
      <w:jc w:val="center"/>
      <w:rPr>
        <w:caps/>
        <w:color w:val="156082" w:themeColor="accent1"/>
      </w:rPr>
    </w:pPr>
  </w:p>
  <w:p w14:paraId="2934E13A" w14:textId="77777777" w:rsidR="002117D9" w:rsidRDefault="00211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230A" w14:textId="77777777" w:rsidR="002117D9" w:rsidRPr="002117D9" w:rsidRDefault="002117D9">
    <w:pPr>
      <w:pStyle w:val="Footer"/>
      <w:jc w:val="center"/>
      <w:rPr>
        <w:caps/>
      </w:rPr>
    </w:pPr>
    <w:r w:rsidRPr="002117D9">
      <w:rPr>
        <w:caps/>
      </w:rPr>
      <w:fldChar w:fldCharType="begin"/>
    </w:r>
    <w:r w:rsidRPr="002117D9">
      <w:rPr>
        <w:caps/>
      </w:rPr>
      <w:instrText>PAGE   \* MERGEFORMAT</w:instrText>
    </w:r>
    <w:r w:rsidRPr="002117D9">
      <w:rPr>
        <w:caps/>
      </w:rPr>
      <w:fldChar w:fldCharType="separate"/>
    </w:r>
    <w:r w:rsidRPr="002117D9">
      <w:rPr>
        <w:caps/>
        <w:lang w:val="en-GB"/>
      </w:rPr>
      <w:t>2</w:t>
    </w:r>
    <w:r w:rsidRPr="002117D9">
      <w:rPr>
        <w:caps/>
      </w:rPr>
      <w:fldChar w:fldCharType="end"/>
    </w:r>
  </w:p>
  <w:p w14:paraId="6E23A643" w14:textId="77777777" w:rsidR="002117D9" w:rsidRDefault="00211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B9EAC" w14:textId="77777777" w:rsidR="00D3778A" w:rsidRDefault="00D3778A" w:rsidP="00171744">
      <w:pPr>
        <w:spacing w:after="0" w:line="240" w:lineRule="auto"/>
      </w:pPr>
      <w:r>
        <w:separator/>
      </w:r>
    </w:p>
  </w:footnote>
  <w:footnote w:type="continuationSeparator" w:id="0">
    <w:p w14:paraId="7F264EB7" w14:textId="77777777" w:rsidR="00D3778A" w:rsidRDefault="00D3778A" w:rsidP="00171744">
      <w:pPr>
        <w:spacing w:after="0" w:line="240" w:lineRule="auto"/>
      </w:pPr>
      <w:r>
        <w:continuationSeparator/>
      </w:r>
    </w:p>
  </w:footnote>
  <w:footnote w:id="1">
    <w:p w14:paraId="7C7BF1F8" w14:textId="43B0C183" w:rsidR="00372E1C" w:rsidRPr="00E9337B" w:rsidRDefault="00372E1C" w:rsidP="00372E1C">
      <w:pPr>
        <w:rPr>
          <w:rFonts w:ascii="Times New Roman" w:hAnsi="Times New Roman" w:cs="Times New Roman"/>
          <w:sz w:val="24"/>
          <w:szCs w:val="24"/>
        </w:rPr>
      </w:pPr>
      <w:r>
        <w:rPr>
          <w:rStyle w:val="FootnoteReference"/>
        </w:rPr>
        <w:footnoteRef/>
      </w:r>
      <w:r>
        <w:t xml:space="preserve"> </w:t>
      </w:r>
      <w:r w:rsidRPr="00E9337B">
        <w:rPr>
          <w:rFonts w:ascii="Times New Roman" w:hAnsi="Times New Roman" w:cs="Times New Roman"/>
          <w:sz w:val="24"/>
          <w:szCs w:val="24"/>
        </w:rPr>
        <w:t xml:space="preserve">In </w:t>
      </w:r>
      <w:r w:rsidRPr="00E9337B">
        <w:rPr>
          <w:rFonts w:ascii="Times New Roman" w:hAnsi="Times New Roman" w:cs="Times New Roman"/>
          <w:i/>
          <w:sz w:val="24"/>
          <w:szCs w:val="24"/>
        </w:rPr>
        <w:t>Loftus and Ors v Attorney General</w:t>
      </w:r>
      <w:r w:rsidRPr="00E9337B">
        <w:rPr>
          <w:rFonts w:ascii="Times New Roman" w:hAnsi="Times New Roman" w:cs="Times New Roman"/>
          <w:sz w:val="24"/>
          <w:szCs w:val="24"/>
        </w:rPr>
        <w:t xml:space="preserve"> </w:t>
      </w:r>
      <w:r w:rsidRPr="00E9337B">
        <w:rPr>
          <w:rFonts w:ascii="Times New Roman" w:hAnsi="Times New Roman" w:cs="Times New Roman"/>
        </w:rPr>
        <w:t xml:space="preserve">[1979] IR 211 </w:t>
      </w:r>
      <w:r w:rsidRPr="00E9337B">
        <w:rPr>
          <w:rFonts w:ascii="Times New Roman" w:hAnsi="Times New Roman" w:cs="Times New Roman"/>
          <w:sz w:val="24"/>
          <w:szCs w:val="24"/>
        </w:rPr>
        <w:t xml:space="preserve">the Supreme Court decided that the statutory Register of Political Parties is constitutionally permissible. The Court also decided that the statutory powers concerning the registration of political parties must be carried out judicially, that the legislation did not involve any attempt to exclude the “review or supervision” of the courts.  See the decision of the Supreme Court in </w:t>
      </w:r>
      <w:r w:rsidRPr="00E9337B">
        <w:rPr>
          <w:rFonts w:ascii="Times New Roman" w:hAnsi="Times New Roman" w:cs="Times New Roman"/>
          <w:i/>
          <w:sz w:val="24"/>
          <w:szCs w:val="24"/>
        </w:rPr>
        <w:t xml:space="preserve">Zalewski v Workplace Relations </w:t>
      </w:r>
      <w:r w:rsidR="003D2A4C" w:rsidRPr="00E9337B">
        <w:rPr>
          <w:rFonts w:ascii="Times New Roman" w:hAnsi="Times New Roman" w:cs="Times New Roman"/>
          <w:i/>
          <w:sz w:val="24"/>
          <w:szCs w:val="24"/>
        </w:rPr>
        <w:t>Board</w:t>
      </w:r>
      <w:r w:rsidRPr="00E9337B">
        <w:rPr>
          <w:rFonts w:ascii="Times New Roman" w:hAnsi="Times New Roman" w:cs="Times New Roman"/>
          <w:i/>
          <w:sz w:val="24"/>
          <w:szCs w:val="24"/>
        </w:rPr>
        <w:t>.</w:t>
      </w:r>
    </w:p>
    <w:p w14:paraId="39FEC190" w14:textId="69D857FF" w:rsidR="00372E1C" w:rsidRPr="00347779" w:rsidRDefault="00372E1C" w:rsidP="00372E1C">
      <w:r w:rsidRPr="00E9337B">
        <w:rPr>
          <w:rFonts w:ascii="Times New Roman" w:hAnsi="Times New Roman" w:cs="Times New Roman"/>
          <w:sz w:val="24"/>
          <w:szCs w:val="24"/>
        </w:rPr>
        <w:t>S</w:t>
      </w:r>
      <w:r w:rsidRPr="00E9337B">
        <w:rPr>
          <w:rFonts w:ascii="Times New Roman" w:hAnsi="Times New Roman" w:cs="Times New Roman"/>
        </w:rPr>
        <w:t xml:space="preserve">ee generally the Law Reform </w:t>
      </w:r>
      <w:r w:rsidR="003D2A4C" w:rsidRPr="00E9337B">
        <w:rPr>
          <w:rFonts w:ascii="Times New Roman" w:hAnsi="Times New Roman" w:cs="Times New Roman"/>
        </w:rPr>
        <w:t>Board</w:t>
      </w:r>
      <w:r w:rsidRPr="00E9337B">
        <w:rPr>
          <w:rFonts w:ascii="Times New Roman" w:hAnsi="Times New Roman" w:cs="Times New Roman"/>
        </w:rPr>
        <w:t xml:space="preserve">’s 2022 </w:t>
      </w:r>
      <w:r w:rsidRPr="00E9337B">
        <w:rPr>
          <w:rFonts w:ascii="Times New Roman" w:hAnsi="Times New Roman" w:cs="Times New Roman"/>
          <w:i/>
        </w:rPr>
        <w:t>Consultation Paper on Liability of Clubs, Societies and Other Unincorporated Associations</w:t>
      </w:r>
      <w:r w:rsidRPr="00E9337B">
        <w:rPr>
          <w:rFonts w:ascii="Times New Roman" w:hAnsi="Times New Roman" w:cs="Times New Roman"/>
        </w:rPr>
        <w:t xml:space="preserve"> (LRC CP 68-2022), available at</w:t>
      </w:r>
      <w:r w:rsidRPr="008E09DF">
        <w:rPr>
          <w:rFonts w:cstheme="minorHAnsi"/>
        </w:rPr>
        <w:t xml:space="preserve"> </w:t>
      </w:r>
      <w:hyperlink r:id="rId1" w:history="1">
        <w:r w:rsidRPr="008E09DF">
          <w:rPr>
            <w:rStyle w:val="Hyperlink"/>
            <w:rFonts w:cstheme="minorHAnsi"/>
          </w:rPr>
          <w:t>https://www.lawreform.ie/_fileupload/consultation%20papers/LRC%20-%20CP%2068%202022%20Full%20Text%20W%20Cover.pdf</w:t>
        </w:r>
      </w:hyperlink>
    </w:p>
    <w:p w14:paraId="7D547E8F" w14:textId="77777777" w:rsidR="00372E1C" w:rsidRDefault="00372E1C" w:rsidP="00372E1C">
      <w:pPr>
        <w:pStyle w:val="NoSpacing"/>
        <w:rPr>
          <w:sz w:val="24"/>
          <w:szCs w:val="24"/>
        </w:rPr>
      </w:pPr>
    </w:p>
    <w:p w14:paraId="2D883E91" w14:textId="77777777" w:rsidR="00372E1C" w:rsidRDefault="00372E1C" w:rsidP="00372E1C">
      <w:pPr>
        <w:pStyle w:val="FootnoteText"/>
      </w:pPr>
    </w:p>
  </w:footnote>
  <w:footnote w:id="2">
    <w:p w14:paraId="5ED51C03" w14:textId="77777777" w:rsidR="00372E1C" w:rsidRDefault="00372E1C" w:rsidP="00372E1C">
      <w:pPr>
        <w:pStyle w:val="FootnoteText"/>
      </w:pPr>
      <w:r>
        <w:rPr>
          <w:rStyle w:val="FootnoteReference"/>
        </w:rPr>
        <w:footnoteRef/>
      </w:r>
      <w:r>
        <w:t xml:space="preserve"> </w:t>
      </w:r>
      <w:r w:rsidRPr="00BF7E2E">
        <w:rPr>
          <w:sz w:val="22"/>
          <w:szCs w:val="22"/>
        </w:rPr>
        <w:t xml:space="preserve">2012] IEHC 412, [2014] IESC 24, [2014] 2 IR 337 (SC). </w:t>
      </w:r>
    </w:p>
  </w:footnote>
  <w:footnote w:id="3">
    <w:p w14:paraId="30A0890A" w14:textId="77777777" w:rsidR="00372E1C" w:rsidRPr="00095720" w:rsidRDefault="00372E1C" w:rsidP="00372E1C">
      <w:pPr>
        <w:pStyle w:val="ListBullet"/>
        <w:numPr>
          <w:ilvl w:val="0"/>
          <w:numId w:val="0"/>
        </w:numPr>
        <w:spacing w:after="0"/>
      </w:pPr>
      <w:r w:rsidRPr="00095720">
        <w:rPr>
          <w:rStyle w:val="FootnoteReference"/>
        </w:rPr>
        <w:footnoteRef/>
      </w:r>
      <w:r w:rsidRPr="00095720">
        <w:t xml:space="preserve"> </w:t>
      </w:r>
      <w:r w:rsidRPr="00095720">
        <w:rPr>
          <w:rFonts w:cstheme="minorHAnsi"/>
        </w:rPr>
        <w:t>[1981]</w:t>
      </w:r>
      <w:r>
        <w:rPr>
          <w:rFonts w:cstheme="minorHAnsi"/>
        </w:rPr>
        <w:t xml:space="preserve"> </w:t>
      </w:r>
      <w:r w:rsidRPr="00095720">
        <w:rPr>
          <w:rFonts w:cstheme="minorHAnsi"/>
        </w:rPr>
        <w:t>EWCA Civ 2, [1982] 1 WLR 522</w:t>
      </w:r>
      <w:r>
        <w:rPr>
          <w:rFonts w:cstheme="minorHAnsi"/>
        </w:rPr>
        <w:t>.</w:t>
      </w:r>
    </w:p>
  </w:footnote>
  <w:footnote w:id="4">
    <w:p w14:paraId="19B61855" w14:textId="77777777" w:rsidR="00372E1C" w:rsidRPr="00095720" w:rsidRDefault="00372E1C" w:rsidP="00372E1C">
      <w:pPr>
        <w:pStyle w:val="ListBullet"/>
        <w:numPr>
          <w:ilvl w:val="0"/>
          <w:numId w:val="0"/>
        </w:numPr>
        <w:spacing w:after="0"/>
      </w:pPr>
      <w:r w:rsidRPr="00095720">
        <w:rPr>
          <w:rStyle w:val="FootnoteReference"/>
        </w:rPr>
        <w:footnoteRef/>
      </w:r>
      <w:r w:rsidRPr="00095720">
        <w:t xml:space="preserve"> </w:t>
      </w:r>
      <w:r w:rsidRPr="00095720">
        <w:rPr>
          <w:rFonts w:cstheme="minorHAnsi"/>
        </w:rPr>
        <w:t>[1982] 1 WLR 522</w:t>
      </w:r>
      <w:r>
        <w:rPr>
          <w:rFonts w:cstheme="minorHAnsi"/>
        </w:rPr>
        <w:t>, at 525.</w:t>
      </w:r>
    </w:p>
  </w:footnote>
  <w:footnote w:id="5">
    <w:p w14:paraId="1B6173B6" w14:textId="7824BF25" w:rsidR="00DB235E" w:rsidRPr="0098254C" w:rsidRDefault="00DB235E" w:rsidP="00DB235E">
      <w:pPr>
        <w:pStyle w:val="FootnoteText"/>
        <w:rPr>
          <w:sz w:val="22"/>
          <w:szCs w:val="22"/>
        </w:rPr>
      </w:pPr>
      <w:r w:rsidRPr="00C947ED">
        <w:rPr>
          <w:rStyle w:val="FootnoteReference"/>
          <w:sz w:val="22"/>
          <w:szCs w:val="22"/>
        </w:rPr>
        <w:footnoteRef/>
      </w:r>
      <w:r w:rsidRPr="00C947ED">
        <w:rPr>
          <w:sz w:val="22"/>
          <w:szCs w:val="22"/>
        </w:rPr>
        <w:t xml:space="preserve"> </w:t>
      </w:r>
      <w:r w:rsidRPr="0098254C">
        <w:rPr>
          <w:rFonts w:cstheme="minorHAnsi"/>
          <w:sz w:val="22"/>
          <w:szCs w:val="22"/>
        </w:rPr>
        <w:t>[1982] 1 WLR 774.</w:t>
      </w:r>
      <w:r w:rsidRPr="0098254C">
        <w:rPr>
          <w:sz w:val="22"/>
          <w:szCs w:val="22"/>
        </w:rPr>
        <w:t xml:space="preserve"> </w:t>
      </w:r>
      <w:r w:rsidRPr="00894BF0">
        <w:rPr>
          <w:sz w:val="22"/>
          <w:szCs w:val="22"/>
        </w:rPr>
        <w:t xml:space="preserve">The </w:t>
      </w:r>
      <w:r w:rsidRPr="00894BF0">
        <w:rPr>
          <w:i/>
          <w:sz w:val="22"/>
          <w:szCs w:val="22"/>
        </w:rPr>
        <w:t xml:space="preserve">GKN Sports Club </w:t>
      </w:r>
      <w:r w:rsidRPr="00894BF0">
        <w:rPr>
          <w:sz w:val="22"/>
          <w:szCs w:val="22"/>
        </w:rPr>
        <w:t xml:space="preserve">case was discussed by the High Court (Hogan J) and, on appeal, by the Supreme Court in the Roadstone Sports and Social Club case, </w:t>
      </w:r>
      <w:r w:rsidRPr="00894BF0">
        <w:rPr>
          <w:i/>
          <w:sz w:val="22"/>
          <w:szCs w:val="22"/>
        </w:rPr>
        <w:t>Dunne v Mahon</w:t>
      </w:r>
      <w:r w:rsidRPr="00894BF0">
        <w:rPr>
          <w:sz w:val="22"/>
          <w:szCs w:val="22"/>
        </w:rPr>
        <w:t>, in the context of the separate question as to whether the club in question had effectively ceased to function</w:t>
      </w:r>
      <w:r>
        <w:rPr>
          <w:sz w:val="22"/>
          <w:szCs w:val="22"/>
        </w:rPr>
        <w:t>.</w:t>
      </w:r>
    </w:p>
  </w:footnote>
  <w:footnote w:id="6">
    <w:p w14:paraId="04A0D13B" w14:textId="77777777" w:rsidR="00DB235E" w:rsidRPr="00176032" w:rsidRDefault="00DB235E" w:rsidP="00DB235E">
      <w:pPr>
        <w:pStyle w:val="FootnoteText"/>
        <w:rPr>
          <w:sz w:val="22"/>
          <w:szCs w:val="22"/>
        </w:rPr>
      </w:pPr>
      <w:r w:rsidRPr="00176032">
        <w:rPr>
          <w:rStyle w:val="FootnoteReference"/>
          <w:sz w:val="22"/>
          <w:szCs w:val="22"/>
        </w:rPr>
        <w:footnoteRef/>
      </w:r>
      <w:r w:rsidRPr="00176032">
        <w:rPr>
          <w:sz w:val="22"/>
          <w:szCs w:val="22"/>
        </w:rPr>
        <w:t xml:space="preserve"> </w:t>
      </w:r>
      <w:r w:rsidRPr="00176032">
        <w:rPr>
          <w:i/>
          <w:sz w:val="22"/>
          <w:szCs w:val="22"/>
        </w:rPr>
        <w:t>Rodgers v Irish Transport and General Workers Union</w:t>
      </w:r>
      <w:r>
        <w:rPr>
          <w:sz w:val="22"/>
          <w:szCs w:val="22"/>
        </w:rPr>
        <w:t xml:space="preserve"> [1978] ILRM 51 and </w:t>
      </w:r>
      <w:r w:rsidRPr="00176032">
        <w:rPr>
          <w:i/>
          <w:sz w:val="22"/>
          <w:szCs w:val="22"/>
        </w:rPr>
        <w:t>Doyle v Croke</w:t>
      </w:r>
      <w:r>
        <w:rPr>
          <w:sz w:val="22"/>
          <w:szCs w:val="22"/>
        </w:rPr>
        <w:t xml:space="preserve"> </w:t>
      </w:r>
      <w:r w:rsidRPr="00176032">
        <w:rPr>
          <w:sz w:val="22"/>
          <w:szCs w:val="22"/>
        </w:rPr>
        <w:t>(1988) 7 JISLL 150</w:t>
      </w:r>
      <w:r>
        <w:rPr>
          <w:sz w:val="22"/>
          <w:szCs w:val="22"/>
        </w:rPr>
        <w:t>,</w:t>
      </w:r>
      <w:r w:rsidRPr="00720B8B">
        <w:rPr>
          <w:rFonts w:cstheme="minorHAnsi"/>
          <w:iCs/>
          <w:color w:val="000000"/>
          <w:sz w:val="22"/>
          <w:szCs w:val="22"/>
        </w:rPr>
        <w:t xml:space="preserve"> both trade union cases, </w:t>
      </w:r>
      <w:r w:rsidRPr="00720B8B">
        <w:rPr>
          <w:iCs/>
          <w:sz w:val="22"/>
          <w:szCs w:val="22"/>
        </w:rPr>
        <w:t xml:space="preserve">referred to on this point in </w:t>
      </w:r>
      <w:r w:rsidRPr="00720B8B">
        <w:rPr>
          <w:i/>
          <w:iCs/>
          <w:sz w:val="22"/>
          <w:szCs w:val="22"/>
        </w:rPr>
        <w:t>Kelly: The Irish Constitution</w:t>
      </w:r>
      <w:r>
        <w:rPr>
          <w:i/>
          <w:iCs/>
          <w:sz w:val="22"/>
          <w:szCs w:val="22"/>
        </w:rPr>
        <w:t>.</w:t>
      </w:r>
      <w:r w:rsidRPr="00D53AC8">
        <w:rPr>
          <w:rFonts w:cstheme="minorHAnsi"/>
        </w:rPr>
        <w:t xml:space="preserve"> </w:t>
      </w:r>
      <w:r w:rsidRPr="006B0881">
        <w:rPr>
          <w:rFonts w:cstheme="minorHAnsi"/>
          <w:sz w:val="22"/>
          <w:szCs w:val="22"/>
        </w:rPr>
        <w:t xml:space="preserve">Gerard Hogan, Gerry Whyte, David Kenny and Rachael Walsh (eds) </w:t>
      </w:r>
      <w:r w:rsidRPr="006B0881">
        <w:rPr>
          <w:rFonts w:cstheme="minorHAnsi"/>
          <w:i/>
          <w:sz w:val="22"/>
          <w:szCs w:val="22"/>
        </w:rPr>
        <w:t>Kelly: The Irish Constitution</w:t>
      </w:r>
      <w:r w:rsidRPr="006B0881">
        <w:rPr>
          <w:rFonts w:cstheme="minorHAnsi"/>
          <w:sz w:val="22"/>
          <w:szCs w:val="22"/>
        </w:rPr>
        <w:t xml:space="preserve"> (5</w:t>
      </w:r>
      <w:r w:rsidRPr="006B0881">
        <w:rPr>
          <w:rFonts w:cstheme="minorHAnsi"/>
          <w:sz w:val="22"/>
          <w:szCs w:val="22"/>
          <w:vertAlign w:val="superscript"/>
        </w:rPr>
        <w:t>th</w:t>
      </w:r>
      <w:r w:rsidRPr="006B0881">
        <w:rPr>
          <w:rFonts w:cstheme="minorHAnsi"/>
          <w:sz w:val="22"/>
          <w:szCs w:val="22"/>
        </w:rPr>
        <w:t xml:space="preserve"> ed, Bloomsbury Professional, 2018), at para</w:t>
      </w:r>
      <w:r>
        <w:rPr>
          <w:rFonts w:cstheme="minorHAnsi"/>
          <w:sz w:val="22"/>
          <w:szCs w:val="22"/>
        </w:rPr>
        <w:t>graph</w:t>
      </w:r>
      <w:r w:rsidRPr="006B0881">
        <w:rPr>
          <w:rFonts w:cstheme="minorHAnsi"/>
          <w:sz w:val="22"/>
          <w:szCs w:val="22"/>
        </w:rPr>
        <w:t>s</w:t>
      </w:r>
      <w:r>
        <w:rPr>
          <w:rFonts w:cstheme="minorHAnsi"/>
          <w:sz w:val="22"/>
          <w:szCs w:val="22"/>
        </w:rPr>
        <w:t xml:space="preserve"> </w:t>
      </w:r>
      <w:r w:rsidRPr="006B0881">
        <w:rPr>
          <w:rFonts w:cstheme="minorHAnsi"/>
          <w:sz w:val="22"/>
          <w:szCs w:val="22"/>
        </w:rPr>
        <w:t>[7.6.174]- [7.6.192].</w:t>
      </w:r>
    </w:p>
  </w:footnote>
  <w:footnote w:id="7">
    <w:p w14:paraId="78FC6B99" w14:textId="77777777" w:rsidR="00721F35" w:rsidRDefault="00721F35" w:rsidP="00721F35">
      <w:pPr>
        <w:pStyle w:val="FootnoteText"/>
      </w:pPr>
      <w:r>
        <w:rPr>
          <w:rStyle w:val="FootnoteReference"/>
        </w:rPr>
        <w:footnoteRef/>
      </w:r>
      <w:r>
        <w:t xml:space="preserve"> 1970 Ch 345</w:t>
      </w:r>
    </w:p>
  </w:footnote>
  <w:footnote w:id="8">
    <w:p w14:paraId="06B8CBD0" w14:textId="77777777" w:rsidR="00721F35" w:rsidRPr="00DE777B" w:rsidRDefault="00721F35" w:rsidP="00721F35">
      <w:pPr>
        <w:pStyle w:val="FootnoteText"/>
        <w:ind w:left="284" w:hanging="284"/>
        <w:rPr>
          <w:rFonts w:ascii="Calibri" w:hAnsi="Calibri" w:cs="Calibri"/>
          <w:sz w:val="22"/>
          <w:szCs w:val="22"/>
        </w:rPr>
      </w:pPr>
      <w:r w:rsidRPr="00DE777B">
        <w:rPr>
          <w:rStyle w:val="FootnoteReference"/>
          <w:rFonts w:ascii="Calibri" w:hAnsi="Calibri" w:cs="Calibri"/>
          <w:sz w:val="22"/>
          <w:szCs w:val="22"/>
        </w:rPr>
        <w:footnoteRef/>
      </w:r>
      <w:r w:rsidRPr="00DE777B">
        <w:rPr>
          <w:rFonts w:ascii="Calibri" w:hAnsi="Calibri" w:cs="Calibri"/>
          <w:sz w:val="22"/>
          <w:szCs w:val="22"/>
        </w:rPr>
        <w:t xml:space="preserve"> at 402</w:t>
      </w:r>
      <w:r>
        <w:rPr>
          <w:rFonts w:ascii="Calibri" w:hAnsi="Calibri" w:cs="Calibri"/>
          <w:sz w:val="22"/>
          <w:szCs w:val="22"/>
        </w:rPr>
        <w:t>.</w:t>
      </w:r>
    </w:p>
  </w:footnote>
  <w:footnote w:id="9">
    <w:p w14:paraId="7DABCE24" w14:textId="77777777" w:rsidR="00721F35" w:rsidRDefault="00721F35" w:rsidP="00721F35">
      <w:pPr>
        <w:pStyle w:val="FootnoteText"/>
      </w:pPr>
      <w:r>
        <w:rPr>
          <w:rStyle w:val="FootnoteReference"/>
        </w:rPr>
        <w:footnoteRef/>
      </w:r>
      <w:r>
        <w:t xml:space="preserve"> </w:t>
      </w:r>
      <w:r w:rsidRPr="00471DFF">
        <w:rPr>
          <w:i/>
          <w:iCs/>
        </w:rPr>
        <w:t>Buckley &amp; Ors v Attorney General &amp; Ors</w:t>
      </w:r>
      <w:r>
        <w:t xml:space="preserve"> 1950 1 IR 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3807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521F8"/>
    <w:multiLevelType w:val="hybridMultilevel"/>
    <w:tmpl w:val="D5107636"/>
    <w:lvl w:ilvl="0" w:tplc="20D6337E">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15:restartNumberingAfterBreak="0">
    <w:nsid w:val="1394390E"/>
    <w:multiLevelType w:val="hybridMultilevel"/>
    <w:tmpl w:val="3BD268AA"/>
    <w:lvl w:ilvl="0" w:tplc="FFFFFFFF">
      <w:start w:val="1"/>
      <w:numFmt w:val="decimal"/>
      <w:lvlText w:val="%1."/>
      <w:lvlJc w:val="left"/>
      <w:pPr>
        <w:ind w:left="785"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3E2210"/>
    <w:multiLevelType w:val="hybridMultilevel"/>
    <w:tmpl w:val="118C910C"/>
    <w:lvl w:ilvl="0" w:tplc="06A436E4">
      <w:start w:val="1"/>
      <w:numFmt w:val="lowerLetter"/>
      <w:lvlText w:val="(%1)"/>
      <w:lvlJc w:val="left"/>
      <w:pPr>
        <w:ind w:left="1820" w:hanging="38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D922147"/>
    <w:multiLevelType w:val="hybridMultilevel"/>
    <w:tmpl w:val="3BD268AA"/>
    <w:lvl w:ilvl="0" w:tplc="FFFFFFFF">
      <w:start w:val="1"/>
      <w:numFmt w:val="decimal"/>
      <w:lvlText w:val="%1."/>
      <w:lvlJc w:val="left"/>
      <w:pPr>
        <w:ind w:left="785"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3D300B"/>
    <w:multiLevelType w:val="hybridMultilevel"/>
    <w:tmpl w:val="3BD268AA"/>
    <w:lvl w:ilvl="0" w:tplc="FFFFFFFF">
      <w:start w:val="1"/>
      <w:numFmt w:val="decimal"/>
      <w:lvlText w:val="%1."/>
      <w:lvlJc w:val="left"/>
      <w:pPr>
        <w:ind w:left="785"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AF35FC"/>
    <w:multiLevelType w:val="hybridMultilevel"/>
    <w:tmpl w:val="3BD268AA"/>
    <w:lvl w:ilvl="0" w:tplc="FFFFFFFF">
      <w:start w:val="1"/>
      <w:numFmt w:val="decimal"/>
      <w:lvlText w:val="%1."/>
      <w:lvlJc w:val="left"/>
      <w:pPr>
        <w:ind w:left="785"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9748D9"/>
    <w:multiLevelType w:val="hybridMultilevel"/>
    <w:tmpl w:val="3BD268AA"/>
    <w:lvl w:ilvl="0" w:tplc="AEA2EF9C">
      <w:start w:val="1"/>
      <w:numFmt w:val="decimal"/>
      <w:lvlText w:val="%1."/>
      <w:lvlJc w:val="left"/>
      <w:pPr>
        <w:ind w:left="785" w:hanging="360"/>
      </w:pPr>
      <w:rPr>
        <w:rFonts w:hint="default"/>
        <w:b w:val="0"/>
        <w:bCs w:val="0"/>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117795D"/>
    <w:multiLevelType w:val="hybridMultilevel"/>
    <w:tmpl w:val="80D87F5A"/>
    <w:lvl w:ilvl="0" w:tplc="428E9EFC">
      <w:start w:val="1"/>
      <w:numFmt w:val="lowerLetter"/>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803422526">
    <w:abstractNumId w:val="7"/>
  </w:num>
  <w:num w:numId="2" w16cid:durableId="107505776">
    <w:abstractNumId w:val="8"/>
  </w:num>
  <w:num w:numId="3" w16cid:durableId="499736365">
    <w:abstractNumId w:val="1"/>
  </w:num>
  <w:num w:numId="4" w16cid:durableId="1515608211">
    <w:abstractNumId w:val="0"/>
  </w:num>
  <w:num w:numId="5" w16cid:durableId="851607141">
    <w:abstractNumId w:val="6"/>
  </w:num>
  <w:num w:numId="6" w16cid:durableId="2141460841">
    <w:abstractNumId w:val="2"/>
  </w:num>
  <w:num w:numId="7" w16cid:durableId="1623344859">
    <w:abstractNumId w:val="3"/>
  </w:num>
  <w:num w:numId="8" w16cid:durableId="1753621401">
    <w:abstractNumId w:val="4"/>
  </w:num>
  <w:num w:numId="9" w16cid:durableId="1492868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44"/>
    <w:rsid w:val="0006053B"/>
    <w:rsid w:val="000745FE"/>
    <w:rsid w:val="00121EBE"/>
    <w:rsid w:val="00150483"/>
    <w:rsid w:val="00171744"/>
    <w:rsid w:val="0017555A"/>
    <w:rsid w:val="00187505"/>
    <w:rsid w:val="001D2B83"/>
    <w:rsid w:val="00205E62"/>
    <w:rsid w:val="002117D9"/>
    <w:rsid w:val="00244572"/>
    <w:rsid w:val="002851CE"/>
    <w:rsid w:val="002B0922"/>
    <w:rsid w:val="002F7F0C"/>
    <w:rsid w:val="00313C7F"/>
    <w:rsid w:val="00340235"/>
    <w:rsid w:val="00371D26"/>
    <w:rsid w:val="00372E1C"/>
    <w:rsid w:val="003D2A4C"/>
    <w:rsid w:val="00405D11"/>
    <w:rsid w:val="00410256"/>
    <w:rsid w:val="00416EEF"/>
    <w:rsid w:val="00416FB6"/>
    <w:rsid w:val="00426758"/>
    <w:rsid w:val="00471734"/>
    <w:rsid w:val="00474CD4"/>
    <w:rsid w:val="004968FB"/>
    <w:rsid w:val="004B5839"/>
    <w:rsid w:val="004D48A1"/>
    <w:rsid w:val="004E54A3"/>
    <w:rsid w:val="004E6113"/>
    <w:rsid w:val="004E6A07"/>
    <w:rsid w:val="00556B03"/>
    <w:rsid w:val="00591053"/>
    <w:rsid w:val="005E476A"/>
    <w:rsid w:val="006273B0"/>
    <w:rsid w:val="00654871"/>
    <w:rsid w:val="00661987"/>
    <w:rsid w:val="006660D3"/>
    <w:rsid w:val="00672750"/>
    <w:rsid w:val="0067388C"/>
    <w:rsid w:val="00675E95"/>
    <w:rsid w:val="006862BE"/>
    <w:rsid w:val="00693A11"/>
    <w:rsid w:val="006975BC"/>
    <w:rsid w:val="006E2897"/>
    <w:rsid w:val="00721F35"/>
    <w:rsid w:val="00732A04"/>
    <w:rsid w:val="00756F62"/>
    <w:rsid w:val="00770D6A"/>
    <w:rsid w:val="007E2E0D"/>
    <w:rsid w:val="007E75D6"/>
    <w:rsid w:val="00841BF0"/>
    <w:rsid w:val="008655D3"/>
    <w:rsid w:val="008C24C7"/>
    <w:rsid w:val="008F1A63"/>
    <w:rsid w:val="00987F3D"/>
    <w:rsid w:val="009A26E6"/>
    <w:rsid w:val="009F5CB9"/>
    <w:rsid w:val="00A21999"/>
    <w:rsid w:val="00A423E8"/>
    <w:rsid w:val="00A54BC2"/>
    <w:rsid w:val="00A5521A"/>
    <w:rsid w:val="00AE44B9"/>
    <w:rsid w:val="00AF3550"/>
    <w:rsid w:val="00B01CB5"/>
    <w:rsid w:val="00B81FDE"/>
    <w:rsid w:val="00BC07A0"/>
    <w:rsid w:val="00BC177E"/>
    <w:rsid w:val="00C00D1A"/>
    <w:rsid w:val="00C32AB1"/>
    <w:rsid w:val="00C6149E"/>
    <w:rsid w:val="00C646FF"/>
    <w:rsid w:val="00CC0527"/>
    <w:rsid w:val="00D11E0F"/>
    <w:rsid w:val="00D3778A"/>
    <w:rsid w:val="00D52956"/>
    <w:rsid w:val="00DB235E"/>
    <w:rsid w:val="00DD705D"/>
    <w:rsid w:val="00E03408"/>
    <w:rsid w:val="00E16C2F"/>
    <w:rsid w:val="00E9337B"/>
    <w:rsid w:val="00EA2A50"/>
    <w:rsid w:val="00EB1E26"/>
    <w:rsid w:val="00EB21F4"/>
    <w:rsid w:val="00F52866"/>
    <w:rsid w:val="00F62C0A"/>
    <w:rsid w:val="00F67E59"/>
    <w:rsid w:val="00F93E9A"/>
    <w:rsid w:val="00FE492E"/>
    <w:rsid w:val="00FF6D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C2D66"/>
  <w15:chartTrackingRefBased/>
  <w15:docId w15:val="{FAAF7AB3-51E6-429F-B7EB-2A8BF108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744"/>
    <w:pPr>
      <w:spacing w:line="259" w:lineRule="auto"/>
    </w:pPr>
    <w:rPr>
      <w:kern w:val="0"/>
      <w:sz w:val="22"/>
      <w:szCs w:val="22"/>
      <w14:ligatures w14:val="none"/>
    </w:rPr>
  </w:style>
  <w:style w:type="paragraph" w:styleId="Heading1">
    <w:name w:val="heading 1"/>
    <w:basedOn w:val="Normal"/>
    <w:next w:val="Normal"/>
    <w:link w:val="Heading1Char"/>
    <w:uiPriority w:val="9"/>
    <w:qFormat/>
    <w:rsid w:val="00171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744"/>
    <w:rPr>
      <w:rFonts w:eastAsiaTheme="majorEastAsia" w:cstheme="majorBidi"/>
      <w:color w:val="272727" w:themeColor="text1" w:themeTint="D8"/>
    </w:rPr>
  </w:style>
  <w:style w:type="paragraph" w:styleId="Title">
    <w:name w:val="Title"/>
    <w:basedOn w:val="Normal"/>
    <w:next w:val="Normal"/>
    <w:link w:val="TitleChar"/>
    <w:uiPriority w:val="10"/>
    <w:qFormat/>
    <w:rsid w:val="00171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744"/>
    <w:pPr>
      <w:spacing w:before="160"/>
      <w:jc w:val="center"/>
    </w:pPr>
    <w:rPr>
      <w:i/>
      <w:iCs/>
      <w:color w:val="404040" w:themeColor="text1" w:themeTint="BF"/>
    </w:rPr>
  </w:style>
  <w:style w:type="character" w:customStyle="1" w:styleId="QuoteChar">
    <w:name w:val="Quote Char"/>
    <w:basedOn w:val="DefaultParagraphFont"/>
    <w:link w:val="Quote"/>
    <w:uiPriority w:val="29"/>
    <w:rsid w:val="00171744"/>
    <w:rPr>
      <w:i/>
      <w:iCs/>
      <w:color w:val="404040" w:themeColor="text1" w:themeTint="BF"/>
    </w:rPr>
  </w:style>
  <w:style w:type="paragraph" w:styleId="ListParagraph">
    <w:name w:val="List Paragraph"/>
    <w:basedOn w:val="Normal"/>
    <w:uiPriority w:val="34"/>
    <w:qFormat/>
    <w:rsid w:val="00171744"/>
    <w:pPr>
      <w:ind w:left="720"/>
      <w:contextualSpacing/>
    </w:pPr>
  </w:style>
  <w:style w:type="character" w:styleId="IntenseEmphasis">
    <w:name w:val="Intense Emphasis"/>
    <w:basedOn w:val="DefaultParagraphFont"/>
    <w:uiPriority w:val="21"/>
    <w:qFormat/>
    <w:rsid w:val="00171744"/>
    <w:rPr>
      <w:i/>
      <w:iCs/>
      <w:color w:val="0F4761" w:themeColor="accent1" w:themeShade="BF"/>
    </w:rPr>
  </w:style>
  <w:style w:type="paragraph" w:styleId="IntenseQuote">
    <w:name w:val="Intense Quote"/>
    <w:basedOn w:val="Normal"/>
    <w:next w:val="Normal"/>
    <w:link w:val="IntenseQuoteChar"/>
    <w:uiPriority w:val="30"/>
    <w:qFormat/>
    <w:rsid w:val="00171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744"/>
    <w:rPr>
      <w:i/>
      <w:iCs/>
      <w:color w:val="0F4761" w:themeColor="accent1" w:themeShade="BF"/>
    </w:rPr>
  </w:style>
  <w:style w:type="character" w:styleId="IntenseReference">
    <w:name w:val="Intense Reference"/>
    <w:basedOn w:val="DefaultParagraphFont"/>
    <w:uiPriority w:val="32"/>
    <w:qFormat/>
    <w:rsid w:val="00171744"/>
    <w:rPr>
      <w:b/>
      <w:bCs/>
      <w:smallCaps/>
      <w:color w:val="0F4761" w:themeColor="accent1" w:themeShade="BF"/>
      <w:spacing w:val="5"/>
    </w:rPr>
  </w:style>
  <w:style w:type="paragraph" w:styleId="FootnoteText">
    <w:name w:val="footnote text"/>
    <w:basedOn w:val="Normal"/>
    <w:link w:val="FootnoteTextChar"/>
    <w:uiPriority w:val="99"/>
    <w:unhideWhenUsed/>
    <w:rsid w:val="00171744"/>
    <w:pPr>
      <w:spacing w:after="0" w:line="240" w:lineRule="auto"/>
    </w:pPr>
    <w:rPr>
      <w:sz w:val="20"/>
      <w:szCs w:val="20"/>
    </w:rPr>
  </w:style>
  <w:style w:type="character" w:customStyle="1" w:styleId="FootnoteTextChar">
    <w:name w:val="Footnote Text Char"/>
    <w:basedOn w:val="DefaultParagraphFont"/>
    <w:link w:val="FootnoteText"/>
    <w:uiPriority w:val="99"/>
    <w:rsid w:val="00171744"/>
    <w:rPr>
      <w:kern w:val="0"/>
      <w:sz w:val="20"/>
      <w:szCs w:val="20"/>
      <w14:ligatures w14:val="none"/>
    </w:rPr>
  </w:style>
  <w:style w:type="character" w:styleId="FootnoteReference">
    <w:name w:val="footnote reference"/>
    <w:basedOn w:val="DefaultParagraphFont"/>
    <w:uiPriority w:val="99"/>
    <w:unhideWhenUsed/>
    <w:rsid w:val="00171744"/>
    <w:rPr>
      <w:vertAlign w:val="superscript"/>
    </w:rPr>
  </w:style>
  <w:style w:type="paragraph" w:styleId="NoSpacing">
    <w:name w:val="No Spacing"/>
    <w:uiPriority w:val="1"/>
    <w:qFormat/>
    <w:rsid w:val="00372E1C"/>
    <w:pPr>
      <w:spacing w:after="0" w:line="240" w:lineRule="auto"/>
    </w:pPr>
    <w:rPr>
      <w:kern w:val="0"/>
      <w:sz w:val="22"/>
      <w:szCs w:val="22"/>
      <w14:ligatures w14:val="none"/>
    </w:rPr>
  </w:style>
  <w:style w:type="character" w:styleId="Hyperlink">
    <w:name w:val="Hyperlink"/>
    <w:basedOn w:val="DefaultParagraphFont"/>
    <w:uiPriority w:val="99"/>
    <w:unhideWhenUsed/>
    <w:rsid w:val="00372E1C"/>
    <w:rPr>
      <w:color w:val="467886" w:themeColor="hyperlink"/>
      <w:u w:val="single"/>
    </w:rPr>
  </w:style>
  <w:style w:type="paragraph" w:styleId="ListBullet">
    <w:name w:val="List Bullet"/>
    <w:basedOn w:val="Normal"/>
    <w:uiPriority w:val="99"/>
    <w:unhideWhenUsed/>
    <w:rsid w:val="00372E1C"/>
    <w:pPr>
      <w:numPr>
        <w:numId w:val="4"/>
      </w:numPr>
      <w:tabs>
        <w:tab w:val="clear" w:pos="360"/>
      </w:tabs>
      <w:spacing w:after="80" w:line="240" w:lineRule="auto"/>
      <w:ind w:left="0" w:firstLine="0"/>
      <w:contextualSpacing/>
    </w:pPr>
  </w:style>
  <w:style w:type="paragraph" w:styleId="Revision">
    <w:name w:val="Revision"/>
    <w:hidden/>
    <w:uiPriority w:val="99"/>
    <w:semiHidden/>
    <w:rsid w:val="00C6149E"/>
    <w:pPr>
      <w:spacing w:after="0" w:line="240" w:lineRule="auto"/>
    </w:pPr>
    <w:rPr>
      <w:kern w:val="0"/>
      <w:sz w:val="22"/>
      <w:szCs w:val="22"/>
      <w14:ligatures w14:val="none"/>
    </w:rPr>
  </w:style>
  <w:style w:type="paragraph" w:styleId="Header">
    <w:name w:val="header"/>
    <w:basedOn w:val="Normal"/>
    <w:link w:val="HeaderChar"/>
    <w:uiPriority w:val="99"/>
    <w:unhideWhenUsed/>
    <w:rsid w:val="00211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7D9"/>
    <w:rPr>
      <w:kern w:val="0"/>
      <w:sz w:val="22"/>
      <w:szCs w:val="22"/>
      <w14:ligatures w14:val="none"/>
    </w:rPr>
  </w:style>
  <w:style w:type="paragraph" w:styleId="Footer">
    <w:name w:val="footer"/>
    <w:basedOn w:val="Normal"/>
    <w:link w:val="FooterChar"/>
    <w:uiPriority w:val="99"/>
    <w:unhideWhenUsed/>
    <w:rsid w:val="00211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7D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awreform.ie/_fileupload/consultation%20papers/LRC%20-%20CP%2068%202022%20Full%20Text%20W%20Cov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eFileName xmlns="79b60008-e4c5-4fd6-b7d0-f6bc2440885a" xsi:nil="true"/>
    <nb1b8a72855341e18dd75ce464e281f2 xmlns="79b60008-e4c5-4fd6-b7d0-f6bc2440885a">
      <Terms xmlns="http://schemas.microsoft.com/office/infopath/2007/PartnerControls"/>
    </nb1b8a72855341e18dd75ce464e281f2>
    <mbbd3fafa5ab4e5eb8a6a5e099cef439 xmlns="79b60008-e4c5-4fd6-b7d0-f6bc2440885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79b60008-e4c5-4fd6-b7d0-f6bc2440885a">
      <Value>5</Value>
      <Value>42</Value>
    </TaxCatchAll>
    <m02c691f3efa402dab5cbaa8c240a9e7 xmlns="79b60008-e4c5-4fd6-b7d0-f6bc2440885a">
      <Terms xmlns="http://schemas.microsoft.com/office/infopath/2007/PartnerControls"/>
    </m02c691f3efa402dab5cbaa8c240a9e7>
    <fbaa881fc4ae443f9fdafbdd527793df xmlns="79b60008-e4c5-4fd6-b7d0-f6bc2440885a">
      <Terms xmlns="http://schemas.microsoft.com/office/infopath/2007/PartnerControls"/>
    </fbaa881fc4ae443f9fdafbdd527793df>
    <_vti_ItemDeclaredRecord xmlns="79b60008-e4c5-4fd6-b7d0-f6bc2440885a" xsi:nil="true"/>
    <eDocs_FileStatus xmlns="79b60008-e4c5-4fd6-b7d0-f6bc2440885a">Live</eDocs_FileStatus>
    <h1f8bb4843d6459a8b809123185593c7 xmlns="79b60008-e4c5-4fd6-b7d0-f6bc2440885a">
      <Terms xmlns="http://schemas.microsoft.com/office/infopath/2007/PartnerControls">
        <TermInfo xmlns="http://schemas.microsoft.com/office/infopath/2007/PartnerControls">
          <TermName xmlns="http://schemas.microsoft.com/office/infopath/2007/PartnerControls">022</TermName>
          <TermId xmlns="http://schemas.microsoft.com/office/infopath/2007/PartnerControls">88406a58-a915-4bbf-b269-3ae0bef46cd2</TermId>
        </TermInfo>
      </Terms>
    </h1f8bb4843d6459a8b809123185593c7>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DFACBCA123AF3F44BD958D76A7924EC2" ma:contentTypeVersion="91" ma:contentTypeDescription="" ma:contentTypeScope="" ma:versionID="444edf05173672eefe4e2d80f4bfbce4">
  <xsd:schema xmlns:xsd="http://www.w3.org/2001/XMLSchema" xmlns:xs="http://www.w3.org/2001/XMLSchema" xmlns:p="http://schemas.microsoft.com/office/2006/metadata/properties" xmlns:ns2="79b60008-e4c5-4fd6-b7d0-f6bc2440885a" targetNamespace="http://schemas.microsoft.com/office/2006/metadata/properties" ma:root="true" ma:fieldsID="29917e28dc6d78f28d89cc8511482320" ns2:_="">
    <xsd:import namespace="79b60008-e4c5-4fd6-b7d0-f6bc2440885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60008-e4c5-4fd6-b7d0-f6bc2440885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eee64ab9-1752-47ff-a123-4f6b5f6d3fb0}" ma:internalName="TaxCatchAll" ma:showField="CatchAllData" ma:web="79b60008-e4c5-4fd6-b7d0-f6bc244088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ee64ab9-1752-47ff-a123-4f6b5f6d3fb0}" ma:internalName="TaxCatchAllLabel" ma:readOnly="true" ma:showField="CatchAllDataLabel" ma:web="79b60008-e4c5-4fd6-b7d0-f6bc2440885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46c3e047-f773-42e4-8af2-2e2076a8926f"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AFC77-BD45-4A4E-8CA6-69BDCB5FEBB9}">
  <ds:schemaRefs>
    <ds:schemaRef ds:uri="http://schemas.microsoft.com/sharepoint/v3/contenttype/forms"/>
  </ds:schemaRefs>
</ds:datastoreItem>
</file>

<file path=customXml/itemProps2.xml><?xml version="1.0" encoding="utf-8"?>
<ds:datastoreItem xmlns:ds="http://schemas.openxmlformats.org/officeDocument/2006/customXml" ds:itemID="{53FDDC43-F78B-4BB5-8C75-185E4D9482AD}">
  <ds:schemaRefs>
    <ds:schemaRef ds:uri="http://schemas.microsoft.com/office/2006/metadata/properties"/>
    <ds:schemaRef ds:uri="http://schemas.microsoft.com/office/infopath/2007/PartnerControls"/>
    <ds:schemaRef ds:uri="79b60008-e4c5-4fd6-b7d0-f6bc2440885a"/>
  </ds:schemaRefs>
</ds:datastoreItem>
</file>

<file path=customXml/itemProps3.xml><?xml version="1.0" encoding="utf-8"?>
<ds:datastoreItem xmlns:ds="http://schemas.openxmlformats.org/officeDocument/2006/customXml" ds:itemID="{CE5E5A19-43D9-AB42-95A3-2D1CC5E9E5EB}">
  <ds:schemaRefs>
    <ds:schemaRef ds:uri="http://schemas.openxmlformats.org/officeDocument/2006/bibliography"/>
  </ds:schemaRefs>
</ds:datastoreItem>
</file>

<file path=customXml/itemProps4.xml><?xml version="1.0" encoding="utf-8"?>
<ds:datastoreItem xmlns:ds="http://schemas.openxmlformats.org/officeDocument/2006/customXml" ds:itemID="{6DB5627F-9C1E-4007-8480-053D0012C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60008-e4c5-4fd6-b7d0-f6bc24408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4228</Words>
  <Characters>24103</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Baker (ELC)</dc:creator>
  <cp:keywords/>
  <dc:description/>
  <cp:lastModifiedBy>Claire Lowney (ELC)</cp:lastModifiedBy>
  <cp:revision>2</cp:revision>
  <dcterms:created xsi:type="dcterms:W3CDTF">2026-07-15T10:45:00Z</dcterms:created>
  <dcterms:modified xsi:type="dcterms:W3CDTF">2026-07-15T10:45:00Z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0x0101000BC94875665D404BB1351B53C41FD2C000DFACBCA123AF3F44BD958D76A7924EC2</vt:lpwstr>
  </property>
  <property fmtid="{D5CDD505-2E9C-101B-9397-08002B2CF9AE}" pid="3" name="eDocs_FileTopics">
    <vt:lpwstr/>
  </property>
  <property fmtid="{D5CDD505-2E9C-101B-9397-08002B2CF9AE}" pid="4" name="eDocs_SecurityClassification">
    <vt:lpwstr>5;#Unclassified|85253a02-d239-4f6c-897f-b3c1807baee2</vt:lpwstr>
  </property>
  <property fmtid="{D5CDD505-2E9C-101B-9397-08002B2CF9AE}" pid="5" name="eDocs_Series">
    <vt:lpwstr>42;#022|88406a58-a915-4bbf-b269-3ae0bef46cd2</vt:lpwstr>
  </property>
  <property fmtid="{D5CDD505-2E9C-101B-9397-08002B2CF9AE}" pid="6" name="eDocs_DocumentTopics">
    <vt:lpwstr/>
  </property>
  <property fmtid="{D5CDD505-2E9C-101B-9397-08002B2CF9AE}" pid="7" name="eDocs_Year">
    <vt:lpwstr/>
  </property>
</Properties>
</file>